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EC4" w:rsidRPr="002C450B" w:rsidRDefault="00024F2A" w:rsidP="00605EC4">
      <w:pPr>
        <w:jc w:val="center"/>
        <w:rPr>
          <w:rFonts w:ascii="Times New Roman" w:hAnsi="Times New Roman" w:cs="Times New Roman"/>
          <w:b/>
          <w:sz w:val="24"/>
        </w:rPr>
      </w:pPr>
      <w:r>
        <w:rPr>
          <w:rFonts w:ascii="Times New Roman" w:hAnsi="Times New Roman" w:cs="Times New Roman"/>
          <w:b/>
          <w:sz w:val="24"/>
        </w:rPr>
        <w:t xml:space="preserve">  </w:t>
      </w:r>
      <w:r w:rsidR="00605EC4" w:rsidRPr="002C450B">
        <w:rPr>
          <w:rFonts w:ascii="Times New Roman" w:hAnsi="Times New Roman" w:cs="Times New Roman"/>
          <w:b/>
          <w:sz w:val="24"/>
        </w:rPr>
        <w:t>SUMMARY OF ROAD TRAFFIC CRASH AND CASUALTY SITUATION</w:t>
      </w:r>
    </w:p>
    <w:p w:rsidR="00605EC4" w:rsidRPr="002C450B" w:rsidRDefault="00605EC4" w:rsidP="00605EC4">
      <w:pPr>
        <w:jc w:val="center"/>
        <w:rPr>
          <w:rFonts w:ascii="Times New Roman" w:hAnsi="Times New Roman" w:cs="Times New Roman"/>
          <w:b/>
          <w:sz w:val="24"/>
        </w:rPr>
      </w:pPr>
      <w:r w:rsidRPr="002C450B">
        <w:rPr>
          <w:rFonts w:ascii="Times New Roman" w:hAnsi="Times New Roman" w:cs="Times New Roman"/>
          <w:b/>
          <w:sz w:val="24"/>
        </w:rPr>
        <w:t xml:space="preserve">PROVISIONAL STATISTICS FOR </w:t>
      </w:r>
      <w:r>
        <w:rPr>
          <w:rFonts w:ascii="Times New Roman" w:hAnsi="Times New Roman" w:cs="Times New Roman"/>
          <w:b/>
          <w:sz w:val="24"/>
        </w:rPr>
        <w:t xml:space="preserve">HALF YEAR (JANUARY TO JUNE) </w:t>
      </w:r>
      <w:r w:rsidRPr="002C450B">
        <w:rPr>
          <w:rFonts w:ascii="Times New Roman" w:hAnsi="Times New Roman" w:cs="Times New Roman"/>
          <w:b/>
          <w:sz w:val="24"/>
        </w:rPr>
        <w:t>202</w:t>
      </w:r>
      <w:r>
        <w:rPr>
          <w:rFonts w:ascii="Times New Roman" w:hAnsi="Times New Roman" w:cs="Times New Roman"/>
          <w:b/>
          <w:sz w:val="24"/>
        </w:rPr>
        <w:t xml:space="preserve">2 </w:t>
      </w:r>
    </w:p>
    <w:p w:rsidR="00605EC4" w:rsidRPr="00FF0C3D" w:rsidRDefault="00605EC4" w:rsidP="00605EC4">
      <w:pPr>
        <w:pStyle w:val="ListParagraph"/>
        <w:numPr>
          <w:ilvl w:val="0"/>
          <w:numId w:val="1"/>
        </w:numPr>
        <w:jc w:val="both"/>
        <w:rPr>
          <w:rFonts w:ascii="Times New Roman" w:hAnsi="Times New Roman" w:cs="Times New Roman"/>
          <w:b/>
          <w:sz w:val="24"/>
        </w:rPr>
      </w:pPr>
      <w:r w:rsidRPr="00FF0C3D">
        <w:rPr>
          <w:rFonts w:ascii="Times New Roman" w:hAnsi="Times New Roman" w:cs="Times New Roman"/>
          <w:b/>
          <w:sz w:val="24"/>
        </w:rPr>
        <w:t>General Overview</w:t>
      </w:r>
    </w:p>
    <w:p w:rsidR="00605EC4" w:rsidRDefault="00605EC4" w:rsidP="00605EC4">
      <w:pPr>
        <w:tabs>
          <w:tab w:val="left" w:pos="480"/>
        </w:tabs>
        <w:ind w:right="-1260"/>
        <w:rPr>
          <w:rFonts w:ascii="Times New Roman" w:hAnsi="Times New Roman" w:cs="Times New Roman"/>
          <w:sz w:val="24"/>
        </w:rPr>
      </w:pPr>
      <w:r w:rsidRPr="002C450B">
        <w:rPr>
          <w:rFonts w:ascii="Times New Roman" w:hAnsi="Times New Roman" w:cs="Times New Roman"/>
          <w:sz w:val="24"/>
        </w:rPr>
        <w:t>Table 1: Summary of RTC and Casualty Situation – (</w:t>
      </w:r>
      <w:r>
        <w:rPr>
          <w:rFonts w:ascii="Times New Roman" w:hAnsi="Times New Roman" w:cs="Times New Roman"/>
          <w:sz w:val="24"/>
        </w:rPr>
        <w:t>January</w:t>
      </w:r>
      <w:r w:rsidRPr="007E078B">
        <w:rPr>
          <w:rFonts w:ascii="Times New Roman" w:hAnsi="Times New Roman" w:cs="Times New Roman"/>
          <w:sz w:val="24"/>
        </w:rPr>
        <w:t xml:space="preserve"> to June</w:t>
      </w:r>
      <w:r w:rsidRPr="007E078B">
        <w:rPr>
          <w:rFonts w:ascii="Times New Roman" w:hAnsi="Times New Roman" w:cs="Times New Roman"/>
          <w:b/>
          <w:bCs/>
          <w:sz w:val="24"/>
        </w:rPr>
        <w:t xml:space="preserve"> </w:t>
      </w:r>
      <w:r w:rsidRPr="002C450B">
        <w:rPr>
          <w:rFonts w:ascii="Times New Roman" w:hAnsi="Times New Roman" w:cs="Times New Roman"/>
          <w:sz w:val="24"/>
        </w:rPr>
        <w:t>202</w:t>
      </w:r>
      <w:r>
        <w:rPr>
          <w:rFonts w:ascii="Times New Roman" w:hAnsi="Times New Roman" w:cs="Times New Roman"/>
          <w:sz w:val="24"/>
        </w:rPr>
        <w:t>2</w:t>
      </w:r>
      <w:r w:rsidRPr="002C450B">
        <w:rPr>
          <w:rFonts w:ascii="Times New Roman" w:hAnsi="Times New Roman" w:cs="Times New Roman"/>
          <w:sz w:val="24"/>
        </w:rPr>
        <w:t>)</w:t>
      </w:r>
      <w:r>
        <w:rPr>
          <w:rFonts w:ascii="Times New Roman" w:hAnsi="Times New Roman" w:cs="Times New Roman"/>
          <w:sz w:val="24"/>
        </w:rPr>
        <w:t>.</w:t>
      </w:r>
    </w:p>
    <w:tbl>
      <w:tblPr>
        <w:tblStyle w:val="TableGrid"/>
        <w:tblW w:w="10355" w:type="dxa"/>
        <w:tblLook w:val="04A0" w:firstRow="1" w:lastRow="0" w:firstColumn="1" w:lastColumn="0" w:noHBand="0" w:noVBand="1"/>
      </w:tblPr>
      <w:tblGrid>
        <w:gridCol w:w="2630"/>
        <w:gridCol w:w="2363"/>
        <w:gridCol w:w="2454"/>
        <w:gridCol w:w="2908"/>
      </w:tblGrid>
      <w:tr w:rsidR="00605EC4" w:rsidRPr="00D60C3D" w:rsidTr="00605EC4">
        <w:trPr>
          <w:trHeight w:val="765"/>
        </w:trPr>
        <w:tc>
          <w:tcPr>
            <w:tcW w:w="2630" w:type="dxa"/>
            <w:noWrap/>
            <w:hideMark/>
          </w:tcPr>
          <w:p w:rsidR="00605EC4" w:rsidRPr="00D60C3D" w:rsidRDefault="00605EC4" w:rsidP="00605EC4">
            <w:pPr>
              <w:tabs>
                <w:tab w:val="left" w:pos="480"/>
              </w:tabs>
              <w:ind w:right="-1260"/>
              <w:rPr>
                <w:rFonts w:ascii="Times New Roman" w:hAnsi="Times New Roman" w:cs="Times New Roman"/>
                <w:b/>
                <w:bCs/>
                <w:sz w:val="24"/>
              </w:rPr>
            </w:pPr>
          </w:p>
        </w:tc>
        <w:tc>
          <w:tcPr>
            <w:tcW w:w="2363" w:type="dxa"/>
            <w:hideMark/>
          </w:tcPr>
          <w:p w:rsidR="00605EC4" w:rsidRPr="00605EC4" w:rsidRDefault="00605EC4" w:rsidP="00605EC4">
            <w:pPr>
              <w:tabs>
                <w:tab w:val="left" w:pos="480"/>
              </w:tabs>
              <w:ind w:right="-1260"/>
              <w:rPr>
                <w:rFonts w:ascii="Times New Roman" w:hAnsi="Times New Roman" w:cs="Times New Roman"/>
                <w:b/>
                <w:bCs/>
                <w:sz w:val="24"/>
              </w:rPr>
            </w:pPr>
            <w:r w:rsidRPr="00605EC4">
              <w:rPr>
                <w:rFonts w:ascii="Times New Roman" w:hAnsi="Times New Roman" w:cs="Times New Roman"/>
                <w:b/>
                <w:bCs/>
                <w:sz w:val="24"/>
              </w:rPr>
              <w:t>Jan</w:t>
            </w:r>
            <w:r>
              <w:rPr>
                <w:rFonts w:ascii="Times New Roman" w:hAnsi="Times New Roman" w:cs="Times New Roman"/>
                <w:b/>
                <w:bCs/>
                <w:sz w:val="24"/>
              </w:rPr>
              <w:t xml:space="preserve"> </w:t>
            </w:r>
            <w:r w:rsidRPr="00605EC4">
              <w:rPr>
                <w:rFonts w:ascii="Times New Roman" w:hAnsi="Times New Roman" w:cs="Times New Roman"/>
                <w:b/>
                <w:bCs/>
                <w:sz w:val="24"/>
              </w:rPr>
              <w:t>to June 2022</w:t>
            </w:r>
          </w:p>
        </w:tc>
        <w:tc>
          <w:tcPr>
            <w:tcW w:w="2454" w:type="dxa"/>
            <w:hideMark/>
          </w:tcPr>
          <w:p w:rsidR="00605EC4" w:rsidRPr="00605EC4" w:rsidRDefault="00605EC4" w:rsidP="00605EC4">
            <w:pPr>
              <w:tabs>
                <w:tab w:val="left" w:pos="480"/>
              </w:tabs>
              <w:ind w:right="-1260"/>
              <w:rPr>
                <w:rFonts w:ascii="Times New Roman" w:hAnsi="Times New Roman" w:cs="Times New Roman"/>
                <w:b/>
                <w:bCs/>
                <w:sz w:val="24"/>
              </w:rPr>
            </w:pPr>
            <w:r w:rsidRPr="00605EC4">
              <w:rPr>
                <w:rFonts w:ascii="Times New Roman" w:hAnsi="Times New Roman" w:cs="Times New Roman"/>
                <w:b/>
                <w:bCs/>
                <w:sz w:val="24"/>
              </w:rPr>
              <w:t>Jan to June 2021</w:t>
            </w:r>
          </w:p>
        </w:tc>
        <w:tc>
          <w:tcPr>
            <w:tcW w:w="2908" w:type="dxa"/>
            <w:noWrap/>
            <w:hideMark/>
          </w:tcPr>
          <w:p w:rsidR="00605EC4" w:rsidRPr="00605EC4" w:rsidRDefault="00605EC4" w:rsidP="00605EC4">
            <w:pPr>
              <w:tabs>
                <w:tab w:val="left" w:pos="480"/>
              </w:tabs>
              <w:ind w:right="-1260"/>
              <w:rPr>
                <w:rFonts w:ascii="Times New Roman" w:hAnsi="Times New Roman" w:cs="Times New Roman"/>
                <w:b/>
                <w:bCs/>
                <w:sz w:val="24"/>
              </w:rPr>
            </w:pPr>
            <w:r w:rsidRPr="00605EC4">
              <w:rPr>
                <w:rFonts w:ascii="Times New Roman" w:hAnsi="Times New Roman" w:cs="Times New Roman"/>
                <w:b/>
                <w:bCs/>
                <w:sz w:val="24"/>
              </w:rPr>
              <w:t>Percentage Change</w:t>
            </w:r>
          </w:p>
          <w:p w:rsidR="00605EC4" w:rsidRPr="00605EC4" w:rsidRDefault="00605EC4" w:rsidP="00605EC4">
            <w:pPr>
              <w:tabs>
                <w:tab w:val="left" w:pos="480"/>
              </w:tabs>
              <w:ind w:right="-1260"/>
              <w:rPr>
                <w:rFonts w:ascii="Times New Roman" w:hAnsi="Times New Roman" w:cs="Times New Roman"/>
                <w:b/>
                <w:bCs/>
                <w:sz w:val="24"/>
              </w:rPr>
            </w:pPr>
            <w:r w:rsidRPr="00605EC4">
              <w:rPr>
                <w:rFonts w:ascii="Times New Roman" w:hAnsi="Times New Roman" w:cs="Times New Roman"/>
                <w:b/>
                <w:bCs/>
                <w:sz w:val="24"/>
              </w:rPr>
              <w:t>(Compared to 2021)</w:t>
            </w:r>
          </w:p>
        </w:tc>
      </w:tr>
      <w:tr w:rsidR="00605EC4" w:rsidRPr="00D60C3D" w:rsidTr="00605EC4">
        <w:trPr>
          <w:trHeight w:val="578"/>
        </w:trPr>
        <w:tc>
          <w:tcPr>
            <w:tcW w:w="2630" w:type="dxa"/>
            <w:noWrap/>
            <w:hideMark/>
          </w:tcPr>
          <w:p w:rsidR="00605EC4" w:rsidRPr="00D60C3D" w:rsidRDefault="00605EC4" w:rsidP="00024F2A">
            <w:pPr>
              <w:tabs>
                <w:tab w:val="left" w:pos="480"/>
              </w:tabs>
              <w:ind w:right="-1260"/>
              <w:rPr>
                <w:rFonts w:ascii="Times New Roman" w:hAnsi="Times New Roman" w:cs="Times New Roman"/>
                <w:b/>
                <w:bCs/>
                <w:sz w:val="24"/>
              </w:rPr>
            </w:pPr>
            <w:r w:rsidRPr="00D60C3D">
              <w:rPr>
                <w:rFonts w:ascii="Times New Roman" w:hAnsi="Times New Roman" w:cs="Times New Roman"/>
                <w:b/>
                <w:bCs/>
                <w:sz w:val="24"/>
              </w:rPr>
              <w:t>Cases Reported</w:t>
            </w:r>
          </w:p>
        </w:tc>
        <w:tc>
          <w:tcPr>
            <w:tcW w:w="2363" w:type="dxa"/>
            <w:noWrap/>
            <w:hideMark/>
          </w:tcPr>
          <w:p w:rsidR="00605EC4" w:rsidRPr="00D60C3D" w:rsidRDefault="00324F04" w:rsidP="00605EC4">
            <w:pPr>
              <w:tabs>
                <w:tab w:val="left" w:pos="480"/>
              </w:tabs>
              <w:ind w:right="-1260"/>
              <w:jc w:val="center"/>
              <w:rPr>
                <w:rFonts w:ascii="Times New Roman" w:hAnsi="Times New Roman" w:cs="Times New Roman"/>
                <w:sz w:val="24"/>
              </w:rPr>
            </w:pPr>
            <w:r>
              <w:rPr>
                <w:rFonts w:ascii="Times New Roman" w:hAnsi="Times New Roman" w:cs="Times New Roman"/>
                <w:sz w:val="24"/>
              </w:rPr>
              <w:t>193</w:t>
            </w:r>
          </w:p>
        </w:tc>
        <w:tc>
          <w:tcPr>
            <w:tcW w:w="2454" w:type="dxa"/>
            <w:noWrap/>
            <w:hideMark/>
          </w:tcPr>
          <w:p w:rsidR="00605EC4" w:rsidRPr="00D60C3D" w:rsidRDefault="00605EC4" w:rsidP="00605EC4">
            <w:pPr>
              <w:tabs>
                <w:tab w:val="left" w:pos="480"/>
              </w:tabs>
              <w:ind w:right="-1260"/>
              <w:jc w:val="center"/>
              <w:rPr>
                <w:rFonts w:ascii="Times New Roman" w:hAnsi="Times New Roman" w:cs="Times New Roman"/>
                <w:sz w:val="24"/>
              </w:rPr>
            </w:pPr>
            <w:r>
              <w:rPr>
                <w:rFonts w:ascii="Times New Roman" w:hAnsi="Times New Roman" w:cs="Times New Roman"/>
                <w:sz w:val="24"/>
              </w:rPr>
              <w:t>247</w:t>
            </w:r>
          </w:p>
        </w:tc>
        <w:tc>
          <w:tcPr>
            <w:tcW w:w="2908" w:type="dxa"/>
            <w:noWrap/>
            <w:hideMark/>
          </w:tcPr>
          <w:p w:rsidR="00605EC4" w:rsidRPr="00D60C3D" w:rsidRDefault="00324F04" w:rsidP="00605EC4">
            <w:pPr>
              <w:tabs>
                <w:tab w:val="left" w:pos="-4"/>
              </w:tabs>
              <w:ind w:right="-1260"/>
              <w:jc w:val="center"/>
              <w:rPr>
                <w:rFonts w:ascii="Times New Roman" w:hAnsi="Times New Roman" w:cs="Times New Roman"/>
                <w:sz w:val="24"/>
              </w:rPr>
            </w:pPr>
            <w:r>
              <w:rPr>
                <w:rFonts w:ascii="Times New Roman" w:hAnsi="Times New Roman" w:cs="Times New Roman"/>
                <w:sz w:val="24"/>
              </w:rPr>
              <w:t>-21.9</w:t>
            </w:r>
            <w:r w:rsidR="00605EC4">
              <w:rPr>
                <w:rFonts w:ascii="Times New Roman" w:hAnsi="Times New Roman" w:cs="Times New Roman"/>
                <w:sz w:val="24"/>
              </w:rPr>
              <w:t>%</w:t>
            </w:r>
          </w:p>
        </w:tc>
      </w:tr>
      <w:tr w:rsidR="00605EC4" w:rsidRPr="00D60C3D" w:rsidTr="00605EC4">
        <w:trPr>
          <w:trHeight w:val="578"/>
        </w:trPr>
        <w:tc>
          <w:tcPr>
            <w:tcW w:w="2630" w:type="dxa"/>
            <w:noWrap/>
            <w:hideMark/>
          </w:tcPr>
          <w:p w:rsidR="00605EC4" w:rsidRPr="00D60C3D" w:rsidRDefault="00605EC4" w:rsidP="00024F2A">
            <w:pPr>
              <w:tabs>
                <w:tab w:val="left" w:pos="480"/>
              </w:tabs>
              <w:ind w:right="-1260"/>
              <w:rPr>
                <w:rFonts w:ascii="Times New Roman" w:hAnsi="Times New Roman" w:cs="Times New Roman"/>
                <w:b/>
                <w:bCs/>
                <w:sz w:val="24"/>
              </w:rPr>
            </w:pPr>
            <w:r w:rsidRPr="00D60C3D">
              <w:rPr>
                <w:rFonts w:ascii="Times New Roman" w:hAnsi="Times New Roman" w:cs="Times New Roman"/>
                <w:b/>
                <w:bCs/>
                <w:sz w:val="24"/>
              </w:rPr>
              <w:t>Vehicles Involved</w:t>
            </w:r>
          </w:p>
        </w:tc>
        <w:tc>
          <w:tcPr>
            <w:tcW w:w="2363" w:type="dxa"/>
            <w:noWrap/>
            <w:hideMark/>
          </w:tcPr>
          <w:p w:rsidR="00605EC4" w:rsidRPr="00D60C3D" w:rsidRDefault="00324F04" w:rsidP="00605EC4">
            <w:pPr>
              <w:tabs>
                <w:tab w:val="left" w:pos="480"/>
              </w:tabs>
              <w:ind w:right="-1260"/>
              <w:jc w:val="center"/>
              <w:rPr>
                <w:rFonts w:ascii="Times New Roman" w:hAnsi="Times New Roman" w:cs="Times New Roman"/>
                <w:sz w:val="24"/>
              </w:rPr>
            </w:pPr>
            <w:r>
              <w:rPr>
                <w:rFonts w:ascii="Times New Roman" w:hAnsi="Times New Roman" w:cs="Times New Roman"/>
                <w:sz w:val="24"/>
              </w:rPr>
              <w:t>318</w:t>
            </w:r>
          </w:p>
        </w:tc>
        <w:tc>
          <w:tcPr>
            <w:tcW w:w="2454" w:type="dxa"/>
            <w:noWrap/>
            <w:hideMark/>
          </w:tcPr>
          <w:p w:rsidR="00605EC4" w:rsidRPr="00D60C3D" w:rsidRDefault="00605EC4" w:rsidP="00605EC4">
            <w:pPr>
              <w:tabs>
                <w:tab w:val="left" w:pos="480"/>
              </w:tabs>
              <w:ind w:right="-1260"/>
              <w:jc w:val="center"/>
              <w:rPr>
                <w:rFonts w:ascii="Times New Roman" w:hAnsi="Times New Roman" w:cs="Times New Roman"/>
                <w:sz w:val="24"/>
              </w:rPr>
            </w:pPr>
            <w:r>
              <w:rPr>
                <w:rFonts w:ascii="Times New Roman" w:hAnsi="Times New Roman" w:cs="Times New Roman"/>
                <w:sz w:val="24"/>
              </w:rPr>
              <w:t>423</w:t>
            </w:r>
          </w:p>
        </w:tc>
        <w:tc>
          <w:tcPr>
            <w:tcW w:w="2908" w:type="dxa"/>
            <w:noWrap/>
            <w:hideMark/>
          </w:tcPr>
          <w:p w:rsidR="00605EC4" w:rsidRPr="00D60C3D" w:rsidRDefault="00324F04" w:rsidP="00605EC4">
            <w:pPr>
              <w:tabs>
                <w:tab w:val="left" w:pos="480"/>
              </w:tabs>
              <w:ind w:right="-1260"/>
              <w:jc w:val="center"/>
              <w:rPr>
                <w:rFonts w:ascii="Times New Roman" w:hAnsi="Times New Roman" w:cs="Times New Roman"/>
                <w:sz w:val="24"/>
              </w:rPr>
            </w:pPr>
            <w:r>
              <w:rPr>
                <w:rFonts w:ascii="Times New Roman" w:hAnsi="Times New Roman" w:cs="Times New Roman"/>
                <w:sz w:val="24"/>
              </w:rPr>
              <w:t>-24.8</w:t>
            </w:r>
            <w:r w:rsidR="00605EC4">
              <w:rPr>
                <w:rFonts w:ascii="Times New Roman" w:hAnsi="Times New Roman" w:cs="Times New Roman"/>
                <w:sz w:val="24"/>
              </w:rPr>
              <w:t>%</w:t>
            </w:r>
          </w:p>
        </w:tc>
      </w:tr>
      <w:tr w:rsidR="00605EC4" w:rsidRPr="00D60C3D" w:rsidTr="00605EC4">
        <w:trPr>
          <w:trHeight w:val="578"/>
        </w:trPr>
        <w:tc>
          <w:tcPr>
            <w:tcW w:w="2630" w:type="dxa"/>
            <w:noWrap/>
            <w:hideMark/>
          </w:tcPr>
          <w:p w:rsidR="00605EC4" w:rsidRPr="00D60C3D" w:rsidRDefault="00605EC4" w:rsidP="00024F2A">
            <w:pPr>
              <w:tabs>
                <w:tab w:val="left" w:pos="480"/>
              </w:tabs>
              <w:ind w:right="-1260"/>
              <w:rPr>
                <w:rFonts w:ascii="Times New Roman" w:hAnsi="Times New Roman" w:cs="Times New Roman"/>
                <w:b/>
                <w:bCs/>
                <w:sz w:val="24"/>
              </w:rPr>
            </w:pPr>
            <w:r w:rsidRPr="00D60C3D">
              <w:rPr>
                <w:rFonts w:ascii="Times New Roman" w:hAnsi="Times New Roman" w:cs="Times New Roman"/>
                <w:b/>
                <w:bCs/>
                <w:sz w:val="24"/>
              </w:rPr>
              <w:t>Persons Killed</w:t>
            </w:r>
          </w:p>
        </w:tc>
        <w:tc>
          <w:tcPr>
            <w:tcW w:w="2363" w:type="dxa"/>
            <w:noWrap/>
            <w:hideMark/>
          </w:tcPr>
          <w:p w:rsidR="00605EC4" w:rsidRPr="00D60C3D" w:rsidRDefault="00605EC4" w:rsidP="00605EC4">
            <w:pPr>
              <w:tabs>
                <w:tab w:val="left" w:pos="480"/>
              </w:tabs>
              <w:ind w:right="-1260"/>
              <w:jc w:val="center"/>
              <w:rPr>
                <w:rFonts w:ascii="Times New Roman" w:hAnsi="Times New Roman" w:cs="Times New Roman"/>
                <w:sz w:val="24"/>
              </w:rPr>
            </w:pPr>
            <w:r>
              <w:rPr>
                <w:rFonts w:ascii="Times New Roman" w:hAnsi="Times New Roman" w:cs="Times New Roman"/>
                <w:sz w:val="24"/>
              </w:rPr>
              <w:t>48</w:t>
            </w:r>
          </w:p>
        </w:tc>
        <w:tc>
          <w:tcPr>
            <w:tcW w:w="2454" w:type="dxa"/>
            <w:noWrap/>
            <w:hideMark/>
          </w:tcPr>
          <w:p w:rsidR="00605EC4" w:rsidRPr="00D60C3D" w:rsidRDefault="00605EC4" w:rsidP="00605EC4">
            <w:pPr>
              <w:tabs>
                <w:tab w:val="left" w:pos="480"/>
              </w:tabs>
              <w:ind w:right="-1260"/>
              <w:jc w:val="center"/>
              <w:rPr>
                <w:rFonts w:ascii="Times New Roman" w:hAnsi="Times New Roman" w:cs="Times New Roman"/>
                <w:sz w:val="24"/>
              </w:rPr>
            </w:pPr>
            <w:r>
              <w:rPr>
                <w:rFonts w:ascii="Times New Roman" w:hAnsi="Times New Roman" w:cs="Times New Roman"/>
                <w:sz w:val="24"/>
              </w:rPr>
              <w:t>64</w:t>
            </w:r>
          </w:p>
        </w:tc>
        <w:tc>
          <w:tcPr>
            <w:tcW w:w="2908" w:type="dxa"/>
            <w:noWrap/>
            <w:hideMark/>
          </w:tcPr>
          <w:p w:rsidR="00605EC4" w:rsidRPr="00D60C3D" w:rsidRDefault="00605EC4" w:rsidP="00605EC4">
            <w:pPr>
              <w:tabs>
                <w:tab w:val="left" w:pos="480"/>
              </w:tabs>
              <w:ind w:right="-1260"/>
              <w:jc w:val="center"/>
              <w:rPr>
                <w:rFonts w:ascii="Times New Roman" w:hAnsi="Times New Roman" w:cs="Times New Roman"/>
                <w:sz w:val="24"/>
              </w:rPr>
            </w:pPr>
            <w:r>
              <w:rPr>
                <w:rFonts w:ascii="Times New Roman" w:hAnsi="Times New Roman" w:cs="Times New Roman"/>
                <w:sz w:val="24"/>
              </w:rPr>
              <w:t>-25%</w:t>
            </w:r>
          </w:p>
        </w:tc>
      </w:tr>
      <w:tr w:rsidR="00605EC4" w:rsidRPr="00D60C3D" w:rsidTr="00605EC4">
        <w:trPr>
          <w:trHeight w:val="578"/>
        </w:trPr>
        <w:tc>
          <w:tcPr>
            <w:tcW w:w="2630" w:type="dxa"/>
            <w:noWrap/>
            <w:hideMark/>
          </w:tcPr>
          <w:p w:rsidR="00605EC4" w:rsidRPr="00D60C3D" w:rsidRDefault="00605EC4" w:rsidP="00024F2A">
            <w:pPr>
              <w:tabs>
                <w:tab w:val="left" w:pos="480"/>
              </w:tabs>
              <w:ind w:right="-1260"/>
              <w:rPr>
                <w:rFonts w:ascii="Times New Roman" w:hAnsi="Times New Roman" w:cs="Times New Roman"/>
                <w:b/>
                <w:bCs/>
                <w:sz w:val="24"/>
              </w:rPr>
            </w:pPr>
            <w:r w:rsidRPr="00D60C3D">
              <w:rPr>
                <w:rFonts w:ascii="Times New Roman" w:hAnsi="Times New Roman" w:cs="Times New Roman"/>
                <w:b/>
                <w:bCs/>
                <w:sz w:val="24"/>
              </w:rPr>
              <w:t>Persons Injured</w:t>
            </w:r>
          </w:p>
        </w:tc>
        <w:tc>
          <w:tcPr>
            <w:tcW w:w="2363" w:type="dxa"/>
            <w:noWrap/>
            <w:hideMark/>
          </w:tcPr>
          <w:p w:rsidR="00605EC4" w:rsidRPr="00D60C3D" w:rsidRDefault="00605EC4" w:rsidP="00605EC4">
            <w:pPr>
              <w:tabs>
                <w:tab w:val="left" w:pos="480"/>
              </w:tabs>
              <w:ind w:right="-1260"/>
              <w:jc w:val="center"/>
              <w:rPr>
                <w:rFonts w:ascii="Times New Roman" w:hAnsi="Times New Roman" w:cs="Times New Roman"/>
                <w:sz w:val="24"/>
              </w:rPr>
            </w:pPr>
            <w:r>
              <w:rPr>
                <w:rFonts w:ascii="Times New Roman" w:hAnsi="Times New Roman" w:cs="Times New Roman"/>
                <w:sz w:val="24"/>
              </w:rPr>
              <w:t>133</w:t>
            </w:r>
          </w:p>
        </w:tc>
        <w:tc>
          <w:tcPr>
            <w:tcW w:w="2454" w:type="dxa"/>
            <w:noWrap/>
            <w:hideMark/>
          </w:tcPr>
          <w:p w:rsidR="00605EC4" w:rsidRPr="00D60C3D" w:rsidRDefault="00605EC4" w:rsidP="00605EC4">
            <w:pPr>
              <w:tabs>
                <w:tab w:val="left" w:pos="480"/>
              </w:tabs>
              <w:ind w:right="-1260"/>
              <w:jc w:val="center"/>
              <w:rPr>
                <w:rFonts w:ascii="Times New Roman" w:hAnsi="Times New Roman" w:cs="Times New Roman"/>
                <w:sz w:val="24"/>
              </w:rPr>
            </w:pPr>
            <w:r>
              <w:rPr>
                <w:rFonts w:ascii="Times New Roman" w:hAnsi="Times New Roman" w:cs="Times New Roman"/>
                <w:sz w:val="24"/>
              </w:rPr>
              <w:t>268</w:t>
            </w:r>
          </w:p>
        </w:tc>
        <w:tc>
          <w:tcPr>
            <w:tcW w:w="2908" w:type="dxa"/>
            <w:noWrap/>
            <w:hideMark/>
          </w:tcPr>
          <w:p w:rsidR="00605EC4" w:rsidRPr="00D60C3D" w:rsidRDefault="00605EC4" w:rsidP="00605EC4">
            <w:pPr>
              <w:tabs>
                <w:tab w:val="left" w:pos="480"/>
              </w:tabs>
              <w:ind w:right="-1260"/>
              <w:jc w:val="center"/>
              <w:rPr>
                <w:rFonts w:ascii="Times New Roman" w:hAnsi="Times New Roman" w:cs="Times New Roman"/>
                <w:sz w:val="24"/>
              </w:rPr>
            </w:pPr>
            <w:r>
              <w:rPr>
                <w:rFonts w:ascii="Times New Roman" w:hAnsi="Times New Roman" w:cs="Times New Roman"/>
                <w:sz w:val="24"/>
              </w:rPr>
              <w:t>-50.3%</w:t>
            </w:r>
          </w:p>
        </w:tc>
      </w:tr>
      <w:tr w:rsidR="00605EC4" w:rsidRPr="00D60C3D" w:rsidTr="00605EC4">
        <w:trPr>
          <w:trHeight w:val="464"/>
        </w:trPr>
        <w:tc>
          <w:tcPr>
            <w:tcW w:w="2630" w:type="dxa"/>
            <w:noWrap/>
            <w:hideMark/>
          </w:tcPr>
          <w:p w:rsidR="00605EC4" w:rsidRPr="00D60C3D" w:rsidRDefault="00605EC4" w:rsidP="00024F2A">
            <w:pPr>
              <w:tabs>
                <w:tab w:val="left" w:pos="480"/>
              </w:tabs>
              <w:ind w:right="-1260"/>
              <w:rPr>
                <w:rFonts w:ascii="Times New Roman" w:hAnsi="Times New Roman" w:cs="Times New Roman"/>
                <w:b/>
                <w:bCs/>
                <w:sz w:val="24"/>
              </w:rPr>
            </w:pPr>
            <w:r w:rsidRPr="00D60C3D">
              <w:rPr>
                <w:rFonts w:ascii="Times New Roman" w:hAnsi="Times New Roman" w:cs="Times New Roman"/>
                <w:b/>
                <w:bCs/>
                <w:sz w:val="24"/>
              </w:rPr>
              <w:t>Pedestrians Knockdown</w:t>
            </w:r>
          </w:p>
        </w:tc>
        <w:tc>
          <w:tcPr>
            <w:tcW w:w="2363" w:type="dxa"/>
            <w:noWrap/>
            <w:hideMark/>
          </w:tcPr>
          <w:p w:rsidR="00605EC4" w:rsidRPr="00D60C3D" w:rsidRDefault="00605EC4" w:rsidP="00605EC4">
            <w:pPr>
              <w:tabs>
                <w:tab w:val="left" w:pos="480"/>
              </w:tabs>
              <w:ind w:right="-1260"/>
              <w:jc w:val="center"/>
              <w:rPr>
                <w:rFonts w:ascii="Times New Roman" w:hAnsi="Times New Roman" w:cs="Times New Roman"/>
                <w:sz w:val="24"/>
              </w:rPr>
            </w:pPr>
            <w:r>
              <w:rPr>
                <w:rFonts w:ascii="Times New Roman" w:hAnsi="Times New Roman" w:cs="Times New Roman"/>
                <w:sz w:val="24"/>
              </w:rPr>
              <w:t>46</w:t>
            </w:r>
          </w:p>
        </w:tc>
        <w:tc>
          <w:tcPr>
            <w:tcW w:w="2454" w:type="dxa"/>
            <w:noWrap/>
            <w:hideMark/>
          </w:tcPr>
          <w:p w:rsidR="00605EC4" w:rsidRPr="00D60C3D" w:rsidRDefault="00605EC4" w:rsidP="00605EC4">
            <w:pPr>
              <w:tabs>
                <w:tab w:val="left" w:pos="480"/>
              </w:tabs>
              <w:ind w:right="-1260"/>
              <w:jc w:val="center"/>
              <w:rPr>
                <w:rFonts w:ascii="Times New Roman" w:hAnsi="Times New Roman" w:cs="Times New Roman"/>
                <w:sz w:val="24"/>
              </w:rPr>
            </w:pPr>
            <w:r>
              <w:rPr>
                <w:rFonts w:ascii="Times New Roman" w:hAnsi="Times New Roman" w:cs="Times New Roman"/>
                <w:sz w:val="24"/>
              </w:rPr>
              <w:t>53</w:t>
            </w:r>
          </w:p>
        </w:tc>
        <w:tc>
          <w:tcPr>
            <w:tcW w:w="2908" w:type="dxa"/>
            <w:noWrap/>
            <w:hideMark/>
          </w:tcPr>
          <w:p w:rsidR="00605EC4" w:rsidRPr="00D60C3D" w:rsidRDefault="00605EC4" w:rsidP="00605EC4">
            <w:pPr>
              <w:tabs>
                <w:tab w:val="left" w:pos="480"/>
              </w:tabs>
              <w:ind w:right="-1260"/>
              <w:jc w:val="center"/>
              <w:rPr>
                <w:rFonts w:ascii="Times New Roman" w:hAnsi="Times New Roman" w:cs="Times New Roman"/>
                <w:sz w:val="24"/>
              </w:rPr>
            </w:pPr>
            <w:r>
              <w:rPr>
                <w:rFonts w:ascii="Times New Roman" w:hAnsi="Times New Roman" w:cs="Times New Roman"/>
                <w:sz w:val="24"/>
              </w:rPr>
              <w:t>-13.2%</w:t>
            </w:r>
          </w:p>
        </w:tc>
      </w:tr>
    </w:tbl>
    <w:p w:rsidR="00605EC4" w:rsidRDefault="00605EC4"/>
    <w:p w:rsidR="008D39FA" w:rsidRPr="008D39FA" w:rsidRDefault="008D39FA" w:rsidP="008D39FA">
      <w:pPr>
        <w:tabs>
          <w:tab w:val="left" w:pos="480"/>
        </w:tabs>
        <w:ind w:right="-1260"/>
        <w:rPr>
          <w:rFonts w:ascii="Times New Roman" w:hAnsi="Times New Roman" w:cs="Times New Roman"/>
          <w:sz w:val="24"/>
        </w:rPr>
      </w:pPr>
      <w:r>
        <w:t>Figure 1:</w:t>
      </w:r>
      <w:r w:rsidRPr="008D39FA">
        <w:rPr>
          <w:rFonts w:ascii="Times New Roman" w:hAnsi="Times New Roman" w:cs="Times New Roman"/>
          <w:sz w:val="24"/>
        </w:rPr>
        <w:t xml:space="preserve"> </w:t>
      </w:r>
      <w:r w:rsidRPr="002C450B">
        <w:rPr>
          <w:rFonts w:ascii="Times New Roman" w:hAnsi="Times New Roman" w:cs="Times New Roman"/>
          <w:sz w:val="24"/>
        </w:rPr>
        <w:t>Summary of RTC and Casualty Situation – (</w:t>
      </w:r>
      <w:r>
        <w:rPr>
          <w:rFonts w:ascii="Times New Roman" w:hAnsi="Times New Roman" w:cs="Times New Roman"/>
          <w:sz w:val="24"/>
        </w:rPr>
        <w:t>January</w:t>
      </w:r>
      <w:r w:rsidRPr="007E078B">
        <w:rPr>
          <w:rFonts w:ascii="Times New Roman" w:hAnsi="Times New Roman" w:cs="Times New Roman"/>
          <w:sz w:val="24"/>
        </w:rPr>
        <w:t xml:space="preserve"> to June</w:t>
      </w:r>
      <w:r w:rsidRPr="007E078B">
        <w:rPr>
          <w:rFonts w:ascii="Times New Roman" w:hAnsi="Times New Roman" w:cs="Times New Roman"/>
          <w:b/>
          <w:bCs/>
          <w:sz w:val="24"/>
        </w:rPr>
        <w:t xml:space="preserve"> </w:t>
      </w:r>
      <w:r w:rsidRPr="002C450B">
        <w:rPr>
          <w:rFonts w:ascii="Times New Roman" w:hAnsi="Times New Roman" w:cs="Times New Roman"/>
          <w:sz w:val="24"/>
        </w:rPr>
        <w:t>202</w:t>
      </w:r>
      <w:r>
        <w:rPr>
          <w:rFonts w:ascii="Times New Roman" w:hAnsi="Times New Roman" w:cs="Times New Roman"/>
          <w:sz w:val="24"/>
        </w:rPr>
        <w:t>2</w:t>
      </w:r>
      <w:r w:rsidRPr="002C450B">
        <w:rPr>
          <w:rFonts w:ascii="Times New Roman" w:hAnsi="Times New Roman" w:cs="Times New Roman"/>
          <w:sz w:val="24"/>
        </w:rPr>
        <w:t>)</w:t>
      </w:r>
      <w:r>
        <w:rPr>
          <w:rFonts w:ascii="Times New Roman" w:hAnsi="Times New Roman" w:cs="Times New Roman"/>
          <w:sz w:val="24"/>
        </w:rPr>
        <w:t>.</w:t>
      </w:r>
    </w:p>
    <w:p w:rsidR="001C24FD" w:rsidRDefault="00AF4810">
      <w:r>
        <w:rPr>
          <w:noProof/>
        </w:rPr>
        <w:drawing>
          <wp:inline distT="0" distB="0" distL="0" distR="0" wp14:anchorId="2EB0190F" wp14:editId="34BE2047">
            <wp:extent cx="6265628" cy="2743200"/>
            <wp:effectExtent l="0" t="0" r="20955"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F6A44" w:rsidRDefault="00DA52DA" w:rsidP="00DA52DA">
      <w:pPr>
        <w:tabs>
          <w:tab w:val="left" w:pos="480"/>
        </w:tabs>
        <w:spacing w:line="360" w:lineRule="auto"/>
        <w:jc w:val="both"/>
        <w:rPr>
          <w:rFonts w:ascii="Times New Roman" w:hAnsi="Times New Roman" w:cs="Times New Roman"/>
          <w:sz w:val="24"/>
        </w:rPr>
      </w:pPr>
      <w:r>
        <w:rPr>
          <w:rFonts w:ascii="Times New Roman" w:hAnsi="Times New Roman" w:cs="Times New Roman"/>
          <w:sz w:val="24"/>
        </w:rPr>
        <w:t xml:space="preserve">From Table 1 above, a total of </w:t>
      </w:r>
      <w:r>
        <w:rPr>
          <w:rFonts w:ascii="Times New Roman" w:hAnsi="Times New Roman" w:cs="Times New Roman"/>
          <w:b/>
          <w:bCs/>
          <w:sz w:val="24"/>
        </w:rPr>
        <w:t>193 C</w:t>
      </w:r>
      <w:r w:rsidRPr="00F32E94">
        <w:rPr>
          <w:rFonts w:ascii="Times New Roman" w:hAnsi="Times New Roman" w:cs="Times New Roman"/>
          <w:b/>
          <w:bCs/>
          <w:sz w:val="24"/>
        </w:rPr>
        <w:t>rashes</w:t>
      </w:r>
      <w:r>
        <w:rPr>
          <w:rFonts w:ascii="Times New Roman" w:hAnsi="Times New Roman" w:cs="Times New Roman"/>
          <w:sz w:val="24"/>
        </w:rPr>
        <w:t xml:space="preserve"> were reported from January to June 2022, involving 3</w:t>
      </w:r>
      <w:r>
        <w:rPr>
          <w:rFonts w:ascii="Times New Roman" w:hAnsi="Times New Roman" w:cs="Times New Roman"/>
          <w:b/>
          <w:bCs/>
          <w:sz w:val="24"/>
        </w:rPr>
        <w:t xml:space="preserve">18 </w:t>
      </w:r>
      <w:r w:rsidRPr="00F32E94">
        <w:rPr>
          <w:rFonts w:ascii="Times New Roman" w:hAnsi="Times New Roman" w:cs="Times New Roman"/>
          <w:b/>
          <w:bCs/>
          <w:sz w:val="24"/>
        </w:rPr>
        <w:t>Vehicles</w:t>
      </w:r>
      <w:r>
        <w:rPr>
          <w:rFonts w:ascii="Times New Roman" w:hAnsi="Times New Roman" w:cs="Times New Roman"/>
          <w:sz w:val="24"/>
        </w:rPr>
        <w:t xml:space="preserve">. </w:t>
      </w:r>
      <w:r>
        <w:rPr>
          <w:rFonts w:ascii="Times New Roman" w:hAnsi="Times New Roman" w:cs="Times New Roman"/>
          <w:b/>
          <w:bCs/>
          <w:sz w:val="24"/>
        </w:rPr>
        <w:t xml:space="preserve">48 lives </w:t>
      </w:r>
      <w:r w:rsidRPr="00DA52DA">
        <w:rPr>
          <w:rFonts w:ascii="Times New Roman" w:hAnsi="Times New Roman" w:cs="Times New Roman"/>
          <w:bCs/>
          <w:sz w:val="24"/>
        </w:rPr>
        <w:t>were</w:t>
      </w:r>
      <w:r>
        <w:rPr>
          <w:rFonts w:ascii="Times New Roman" w:hAnsi="Times New Roman" w:cs="Times New Roman"/>
          <w:b/>
          <w:bCs/>
          <w:sz w:val="24"/>
        </w:rPr>
        <w:t xml:space="preserve"> </w:t>
      </w:r>
      <w:r>
        <w:rPr>
          <w:rFonts w:ascii="Times New Roman" w:hAnsi="Times New Roman" w:cs="Times New Roman"/>
          <w:bCs/>
          <w:sz w:val="24"/>
        </w:rPr>
        <w:t>lost</w:t>
      </w:r>
      <w:r>
        <w:rPr>
          <w:rFonts w:ascii="Times New Roman" w:hAnsi="Times New Roman" w:cs="Times New Roman"/>
          <w:sz w:val="24"/>
        </w:rPr>
        <w:t xml:space="preserve"> and </w:t>
      </w:r>
      <w:r>
        <w:rPr>
          <w:rFonts w:ascii="Times New Roman" w:hAnsi="Times New Roman" w:cs="Times New Roman"/>
          <w:b/>
          <w:bCs/>
          <w:sz w:val="24"/>
        </w:rPr>
        <w:t xml:space="preserve">133 </w:t>
      </w:r>
      <w:r w:rsidRPr="00112464">
        <w:rPr>
          <w:rFonts w:ascii="Times New Roman" w:hAnsi="Times New Roman" w:cs="Times New Roman"/>
          <w:sz w:val="24"/>
        </w:rPr>
        <w:t>persons</w:t>
      </w:r>
      <w:r>
        <w:rPr>
          <w:rFonts w:ascii="Times New Roman" w:hAnsi="Times New Roman" w:cs="Times New Roman"/>
          <w:sz w:val="24"/>
        </w:rPr>
        <w:t xml:space="preserve"> sustaining various degrees of </w:t>
      </w:r>
      <w:r w:rsidRPr="00112464">
        <w:rPr>
          <w:rFonts w:ascii="Times New Roman" w:hAnsi="Times New Roman" w:cs="Times New Roman"/>
          <w:b/>
          <w:bCs/>
          <w:sz w:val="24"/>
        </w:rPr>
        <w:t>injuries</w:t>
      </w:r>
      <w:r>
        <w:rPr>
          <w:rFonts w:ascii="Times New Roman" w:hAnsi="Times New Roman" w:cs="Times New Roman"/>
          <w:sz w:val="24"/>
        </w:rPr>
        <w:t xml:space="preserve">. In the same period a total of </w:t>
      </w:r>
      <w:r>
        <w:rPr>
          <w:rFonts w:ascii="Times New Roman" w:hAnsi="Times New Roman" w:cs="Times New Roman"/>
          <w:b/>
          <w:bCs/>
          <w:sz w:val="24"/>
        </w:rPr>
        <w:t xml:space="preserve">46 </w:t>
      </w:r>
      <w:r w:rsidRPr="00F32E94">
        <w:rPr>
          <w:rFonts w:ascii="Times New Roman" w:hAnsi="Times New Roman" w:cs="Times New Roman"/>
          <w:b/>
          <w:bCs/>
          <w:sz w:val="24"/>
        </w:rPr>
        <w:t>Pedestrians</w:t>
      </w:r>
      <w:r>
        <w:rPr>
          <w:rFonts w:ascii="Times New Roman" w:hAnsi="Times New Roman" w:cs="Times New Roman"/>
          <w:sz w:val="24"/>
        </w:rPr>
        <w:t xml:space="preserve"> were knocked down.</w:t>
      </w:r>
      <w:r w:rsidR="00537643">
        <w:rPr>
          <w:rFonts w:ascii="Times New Roman" w:hAnsi="Times New Roman" w:cs="Times New Roman"/>
          <w:sz w:val="24"/>
        </w:rPr>
        <w:t xml:space="preserve"> </w:t>
      </w:r>
    </w:p>
    <w:p w:rsidR="001C24FD" w:rsidRDefault="00537643" w:rsidP="00FF6A44">
      <w:pPr>
        <w:tabs>
          <w:tab w:val="left" w:pos="480"/>
        </w:tabs>
        <w:spacing w:line="360" w:lineRule="auto"/>
        <w:jc w:val="both"/>
        <w:rPr>
          <w:rFonts w:ascii="Times New Roman" w:hAnsi="Times New Roman" w:cs="Times New Roman"/>
          <w:sz w:val="24"/>
        </w:rPr>
      </w:pPr>
      <w:r>
        <w:rPr>
          <w:rFonts w:ascii="Times New Roman" w:hAnsi="Times New Roman" w:cs="Times New Roman"/>
          <w:sz w:val="24"/>
        </w:rPr>
        <w:lastRenderedPageBreak/>
        <w:t>A comparison with the data for</w:t>
      </w:r>
      <w:r w:rsidR="00DA52DA">
        <w:rPr>
          <w:rFonts w:ascii="Times New Roman" w:hAnsi="Times New Roman" w:cs="Times New Roman"/>
          <w:sz w:val="24"/>
        </w:rPr>
        <w:t xml:space="preserve"> January to June 2021 shows a general reduction in all cases. The number of crashes reduced by 21.9% (from 247 in 2021 to 193 in 2022), a 24.8% reduction in vehicles involved from 423 to 318, a 25% reduction in fatalities from 64 in 2021 to 48 in 2022, a 50% reduction in persons injured from 268 in 2021 to 133 in 2022 and a 13.2% reduction in pedestrians knocked down.</w:t>
      </w:r>
    </w:p>
    <w:p w:rsidR="00A95301" w:rsidRDefault="00FF6A44" w:rsidP="00FF6A44">
      <w:pPr>
        <w:pStyle w:val="ListParagraph"/>
        <w:numPr>
          <w:ilvl w:val="0"/>
          <w:numId w:val="1"/>
        </w:numPr>
        <w:tabs>
          <w:tab w:val="left" w:pos="480"/>
        </w:tabs>
        <w:spacing w:line="360" w:lineRule="auto"/>
        <w:jc w:val="both"/>
        <w:rPr>
          <w:rFonts w:ascii="Times New Roman" w:hAnsi="Times New Roman" w:cs="Times New Roman"/>
          <w:b/>
          <w:sz w:val="24"/>
        </w:rPr>
      </w:pPr>
      <w:r w:rsidRPr="00FF6A44">
        <w:rPr>
          <w:rFonts w:ascii="Times New Roman" w:hAnsi="Times New Roman" w:cs="Times New Roman"/>
          <w:b/>
          <w:sz w:val="24"/>
        </w:rPr>
        <w:t>Monthly Distribution of crashes.</w:t>
      </w:r>
    </w:p>
    <w:p w:rsidR="00FF6A44" w:rsidRPr="00FF6A44" w:rsidRDefault="00FF6A44" w:rsidP="00FF6A44">
      <w:pPr>
        <w:tabs>
          <w:tab w:val="left" w:pos="480"/>
        </w:tabs>
        <w:spacing w:line="360" w:lineRule="auto"/>
        <w:jc w:val="both"/>
        <w:rPr>
          <w:rFonts w:ascii="Times New Roman" w:hAnsi="Times New Roman" w:cs="Times New Roman"/>
          <w:sz w:val="24"/>
        </w:rPr>
      </w:pPr>
      <w:r>
        <w:rPr>
          <w:rFonts w:ascii="Times New Roman" w:hAnsi="Times New Roman" w:cs="Times New Roman"/>
          <w:sz w:val="24"/>
        </w:rPr>
        <w:t>Table 2: Monthly Distribution of crashes for Jan to June 2021 and Jan to June 2022</w:t>
      </w:r>
    </w:p>
    <w:tbl>
      <w:tblPr>
        <w:tblW w:w="9433" w:type="dxa"/>
        <w:tblInd w:w="93" w:type="dxa"/>
        <w:tblLook w:val="04A0" w:firstRow="1" w:lastRow="0" w:firstColumn="1" w:lastColumn="0" w:noHBand="0" w:noVBand="1"/>
      </w:tblPr>
      <w:tblGrid>
        <w:gridCol w:w="2412"/>
        <w:gridCol w:w="1225"/>
        <w:gridCol w:w="1369"/>
        <w:gridCol w:w="1225"/>
        <w:gridCol w:w="1081"/>
        <w:gridCol w:w="2121"/>
      </w:tblGrid>
      <w:tr w:rsidR="00A95301" w:rsidRPr="00A95301" w:rsidTr="00EF52F5">
        <w:trPr>
          <w:trHeight w:val="300"/>
        </w:trPr>
        <w:tc>
          <w:tcPr>
            <w:tcW w:w="943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301" w:rsidRPr="00A95301" w:rsidRDefault="00A95301" w:rsidP="00A95301">
            <w:pPr>
              <w:spacing w:after="0" w:line="240" w:lineRule="auto"/>
              <w:jc w:val="center"/>
              <w:rPr>
                <w:rFonts w:ascii="Times New Roman" w:eastAsia="Times New Roman" w:hAnsi="Times New Roman" w:cs="Times New Roman"/>
                <w:b/>
                <w:bCs/>
                <w:color w:val="000000"/>
                <w:sz w:val="24"/>
                <w:szCs w:val="24"/>
              </w:rPr>
            </w:pPr>
            <w:r w:rsidRPr="00A95301">
              <w:rPr>
                <w:rFonts w:ascii="Times New Roman" w:eastAsia="Times New Roman" w:hAnsi="Times New Roman" w:cs="Times New Roman"/>
                <w:b/>
                <w:bCs/>
                <w:color w:val="000000"/>
                <w:sz w:val="24"/>
                <w:szCs w:val="24"/>
              </w:rPr>
              <w:t>CRASHES</w:t>
            </w:r>
          </w:p>
        </w:tc>
      </w:tr>
      <w:tr w:rsidR="00A95301" w:rsidRPr="00A95301" w:rsidTr="00EF52F5">
        <w:trPr>
          <w:trHeight w:val="310"/>
        </w:trPr>
        <w:tc>
          <w:tcPr>
            <w:tcW w:w="2412" w:type="dxa"/>
            <w:tcBorders>
              <w:top w:val="nil"/>
              <w:left w:val="single" w:sz="4" w:space="0" w:color="auto"/>
              <w:bottom w:val="single" w:sz="4" w:space="0" w:color="auto"/>
              <w:right w:val="single" w:sz="4" w:space="0" w:color="auto"/>
            </w:tcBorders>
            <w:shd w:val="clear" w:color="auto" w:fill="auto"/>
            <w:noWrap/>
            <w:vAlign w:val="center"/>
            <w:hideMark/>
          </w:tcPr>
          <w:p w:rsidR="00A95301" w:rsidRPr="00A95301" w:rsidRDefault="00A95301" w:rsidP="00EF52F5">
            <w:pPr>
              <w:spacing w:after="0" w:line="240" w:lineRule="auto"/>
              <w:jc w:val="center"/>
              <w:rPr>
                <w:rFonts w:ascii="Times New Roman" w:eastAsia="Times New Roman" w:hAnsi="Times New Roman" w:cs="Times New Roman"/>
                <w:b/>
                <w:bCs/>
                <w:color w:val="000000"/>
                <w:sz w:val="24"/>
                <w:szCs w:val="24"/>
              </w:rPr>
            </w:pPr>
            <w:r w:rsidRPr="00A95301">
              <w:rPr>
                <w:rFonts w:ascii="Times New Roman" w:eastAsia="Times New Roman" w:hAnsi="Times New Roman" w:cs="Times New Roman"/>
                <w:b/>
                <w:bCs/>
                <w:color w:val="000000"/>
                <w:sz w:val="24"/>
                <w:szCs w:val="24"/>
              </w:rPr>
              <w:t>REGION</w:t>
            </w:r>
          </w:p>
        </w:tc>
        <w:tc>
          <w:tcPr>
            <w:tcW w:w="1225" w:type="dxa"/>
            <w:tcBorders>
              <w:top w:val="nil"/>
              <w:left w:val="nil"/>
              <w:bottom w:val="single" w:sz="4" w:space="0" w:color="auto"/>
              <w:right w:val="single" w:sz="4" w:space="0" w:color="auto"/>
            </w:tcBorders>
            <w:shd w:val="clear" w:color="auto" w:fill="auto"/>
            <w:noWrap/>
            <w:vAlign w:val="bottom"/>
            <w:hideMark/>
          </w:tcPr>
          <w:p w:rsidR="00A95301" w:rsidRPr="00A95301" w:rsidRDefault="00A95301" w:rsidP="00EF52F5">
            <w:pPr>
              <w:spacing w:after="0" w:line="240" w:lineRule="auto"/>
              <w:jc w:val="center"/>
              <w:rPr>
                <w:rFonts w:ascii="Times New Roman" w:eastAsia="Times New Roman" w:hAnsi="Times New Roman" w:cs="Times New Roman"/>
                <w:b/>
                <w:bCs/>
                <w:color w:val="000000"/>
                <w:sz w:val="24"/>
                <w:szCs w:val="24"/>
              </w:rPr>
            </w:pPr>
            <w:r w:rsidRPr="00A95301">
              <w:rPr>
                <w:rFonts w:ascii="Times New Roman" w:eastAsia="Times New Roman" w:hAnsi="Times New Roman" w:cs="Times New Roman"/>
                <w:b/>
                <w:bCs/>
                <w:color w:val="000000"/>
                <w:sz w:val="24"/>
                <w:szCs w:val="24"/>
              </w:rPr>
              <w:t>2022</w:t>
            </w:r>
          </w:p>
        </w:tc>
        <w:tc>
          <w:tcPr>
            <w:tcW w:w="1369" w:type="dxa"/>
            <w:tcBorders>
              <w:top w:val="nil"/>
              <w:left w:val="nil"/>
              <w:bottom w:val="single" w:sz="4" w:space="0" w:color="auto"/>
              <w:right w:val="single" w:sz="4" w:space="0" w:color="auto"/>
            </w:tcBorders>
            <w:shd w:val="clear" w:color="auto" w:fill="auto"/>
            <w:noWrap/>
            <w:vAlign w:val="bottom"/>
            <w:hideMark/>
          </w:tcPr>
          <w:p w:rsidR="00A95301" w:rsidRPr="00A95301" w:rsidRDefault="00A95301" w:rsidP="00EF52F5">
            <w:pPr>
              <w:spacing w:after="0" w:line="240" w:lineRule="auto"/>
              <w:jc w:val="center"/>
              <w:rPr>
                <w:rFonts w:ascii="Times New Roman" w:eastAsia="Times New Roman" w:hAnsi="Times New Roman" w:cs="Times New Roman"/>
                <w:b/>
                <w:bCs/>
                <w:color w:val="000000"/>
                <w:sz w:val="24"/>
                <w:szCs w:val="24"/>
              </w:rPr>
            </w:pPr>
            <w:r w:rsidRPr="00A95301">
              <w:rPr>
                <w:rFonts w:ascii="Times New Roman" w:eastAsia="Times New Roman" w:hAnsi="Times New Roman" w:cs="Times New Roman"/>
                <w:b/>
                <w:bCs/>
                <w:color w:val="000000"/>
                <w:sz w:val="24"/>
                <w:szCs w:val="24"/>
              </w:rPr>
              <w:t>%</w:t>
            </w:r>
          </w:p>
        </w:tc>
        <w:tc>
          <w:tcPr>
            <w:tcW w:w="1225" w:type="dxa"/>
            <w:tcBorders>
              <w:top w:val="nil"/>
              <w:left w:val="nil"/>
              <w:bottom w:val="single" w:sz="4" w:space="0" w:color="auto"/>
              <w:right w:val="single" w:sz="4" w:space="0" w:color="auto"/>
            </w:tcBorders>
            <w:shd w:val="clear" w:color="auto" w:fill="auto"/>
            <w:noWrap/>
            <w:vAlign w:val="bottom"/>
            <w:hideMark/>
          </w:tcPr>
          <w:p w:rsidR="00A95301" w:rsidRPr="00A95301" w:rsidRDefault="00A95301" w:rsidP="00EF52F5">
            <w:pPr>
              <w:spacing w:after="0" w:line="240" w:lineRule="auto"/>
              <w:jc w:val="center"/>
              <w:rPr>
                <w:rFonts w:ascii="Times New Roman" w:eastAsia="Times New Roman" w:hAnsi="Times New Roman" w:cs="Times New Roman"/>
                <w:b/>
                <w:bCs/>
                <w:color w:val="000000"/>
                <w:sz w:val="24"/>
                <w:szCs w:val="24"/>
              </w:rPr>
            </w:pPr>
            <w:r w:rsidRPr="00A95301">
              <w:rPr>
                <w:rFonts w:ascii="Times New Roman" w:eastAsia="Times New Roman" w:hAnsi="Times New Roman" w:cs="Times New Roman"/>
                <w:b/>
                <w:bCs/>
                <w:color w:val="000000"/>
                <w:sz w:val="24"/>
                <w:szCs w:val="24"/>
              </w:rPr>
              <w:t>2021</w:t>
            </w:r>
          </w:p>
        </w:tc>
        <w:tc>
          <w:tcPr>
            <w:tcW w:w="1081" w:type="dxa"/>
            <w:tcBorders>
              <w:top w:val="nil"/>
              <w:left w:val="nil"/>
              <w:bottom w:val="single" w:sz="4" w:space="0" w:color="auto"/>
              <w:right w:val="single" w:sz="4" w:space="0" w:color="auto"/>
            </w:tcBorders>
            <w:shd w:val="clear" w:color="auto" w:fill="auto"/>
            <w:noWrap/>
            <w:vAlign w:val="bottom"/>
            <w:hideMark/>
          </w:tcPr>
          <w:p w:rsidR="00A95301" w:rsidRPr="00A95301" w:rsidRDefault="00A95301" w:rsidP="00EF52F5">
            <w:pPr>
              <w:spacing w:after="0" w:line="240" w:lineRule="auto"/>
              <w:jc w:val="center"/>
              <w:rPr>
                <w:rFonts w:ascii="Times New Roman" w:eastAsia="Times New Roman" w:hAnsi="Times New Roman" w:cs="Times New Roman"/>
                <w:b/>
                <w:bCs/>
                <w:color w:val="000000"/>
                <w:sz w:val="24"/>
                <w:szCs w:val="24"/>
              </w:rPr>
            </w:pPr>
            <w:r w:rsidRPr="00A95301">
              <w:rPr>
                <w:rFonts w:ascii="Times New Roman" w:eastAsia="Times New Roman" w:hAnsi="Times New Roman" w:cs="Times New Roman"/>
                <w:b/>
                <w:bCs/>
                <w:color w:val="000000"/>
                <w:sz w:val="24"/>
                <w:szCs w:val="24"/>
              </w:rPr>
              <w:t>%</w:t>
            </w:r>
          </w:p>
        </w:tc>
        <w:tc>
          <w:tcPr>
            <w:tcW w:w="2120" w:type="dxa"/>
            <w:tcBorders>
              <w:top w:val="nil"/>
              <w:left w:val="nil"/>
              <w:bottom w:val="single" w:sz="4" w:space="0" w:color="auto"/>
              <w:right w:val="single" w:sz="4" w:space="0" w:color="auto"/>
            </w:tcBorders>
            <w:shd w:val="clear" w:color="auto" w:fill="auto"/>
            <w:noWrap/>
            <w:vAlign w:val="bottom"/>
            <w:hideMark/>
          </w:tcPr>
          <w:p w:rsidR="00EF52F5" w:rsidRDefault="00A95301" w:rsidP="00EF52F5">
            <w:pPr>
              <w:spacing w:after="0" w:line="240" w:lineRule="auto"/>
              <w:jc w:val="center"/>
              <w:rPr>
                <w:rFonts w:ascii="Calibri" w:eastAsia="Times New Roman" w:hAnsi="Calibri" w:cs="Calibri"/>
                <w:b/>
                <w:bCs/>
                <w:color w:val="000000"/>
              </w:rPr>
            </w:pPr>
            <w:r w:rsidRPr="00A95301">
              <w:rPr>
                <w:rFonts w:ascii="Calibri" w:eastAsia="Times New Roman" w:hAnsi="Calibri" w:cs="Calibri"/>
                <w:b/>
                <w:bCs/>
                <w:color w:val="000000"/>
              </w:rPr>
              <w:t>% change</w:t>
            </w:r>
          </w:p>
          <w:p w:rsidR="00A95301" w:rsidRPr="00A95301" w:rsidRDefault="00A95301" w:rsidP="00EF52F5">
            <w:pPr>
              <w:spacing w:after="0" w:line="240" w:lineRule="auto"/>
              <w:jc w:val="center"/>
              <w:rPr>
                <w:rFonts w:ascii="Calibri" w:eastAsia="Times New Roman" w:hAnsi="Calibri" w:cs="Calibri"/>
                <w:b/>
                <w:bCs/>
                <w:color w:val="000000"/>
              </w:rPr>
            </w:pPr>
            <w:r w:rsidRPr="00A95301">
              <w:rPr>
                <w:rFonts w:ascii="Calibri" w:eastAsia="Times New Roman" w:hAnsi="Calibri" w:cs="Calibri"/>
                <w:b/>
                <w:bCs/>
                <w:color w:val="000000"/>
              </w:rPr>
              <w:t>compared to 2021</w:t>
            </w:r>
          </w:p>
        </w:tc>
      </w:tr>
      <w:tr w:rsidR="00A95301" w:rsidRPr="00A95301" w:rsidTr="00EF52F5">
        <w:trPr>
          <w:trHeight w:val="310"/>
        </w:trPr>
        <w:tc>
          <w:tcPr>
            <w:tcW w:w="2412" w:type="dxa"/>
            <w:tcBorders>
              <w:top w:val="nil"/>
              <w:left w:val="single" w:sz="4" w:space="0" w:color="auto"/>
              <w:bottom w:val="single" w:sz="4" w:space="0" w:color="auto"/>
              <w:right w:val="single" w:sz="4" w:space="0" w:color="auto"/>
            </w:tcBorders>
            <w:shd w:val="clear" w:color="auto" w:fill="auto"/>
            <w:noWrap/>
            <w:vAlign w:val="center"/>
            <w:hideMark/>
          </w:tcPr>
          <w:p w:rsidR="00A95301" w:rsidRPr="00A95301" w:rsidRDefault="00A95301" w:rsidP="00EF52F5">
            <w:pPr>
              <w:spacing w:after="0" w:line="240" w:lineRule="auto"/>
              <w:jc w:val="center"/>
              <w:rPr>
                <w:rFonts w:ascii="Times New Roman" w:eastAsia="Times New Roman" w:hAnsi="Times New Roman" w:cs="Times New Roman"/>
                <w:color w:val="000000"/>
                <w:sz w:val="24"/>
                <w:szCs w:val="24"/>
              </w:rPr>
            </w:pPr>
            <w:r w:rsidRPr="00A95301">
              <w:rPr>
                <w:rFonts w:ascii="Times New Roman" w:eastAsia="Times New Roman" w:hAnsi="Times New Roman" w:cs="Times New Roman"/>
                <w:color w:val="000000"/>
                <w:sz w:val="24"/>
                <w:szCs w:val="24"/>
              </w:rPr>
              <w:t>January</w:t>
            </w:r>
          </w:p>
        </w:tc>
        <w:tc>
          <w:tcPr>
            <w:tcW w:w="1225" w:type="dxa"/>
            <w:tcBorders>
              <w:top w:val="nil"/>
              <w:left w:val="nil"/>
              <w:bottom w:val="single" w:sz="4" w:space="0" w:color="auto"/>
              <w:right w:val="single" w:sz="4" w:space="0" w:color="auto"/>
            </w:tcBorders>
            <w:shd w:val="clear" w:color="auto" w:fill="auto"/>
            <w:noWrap/>
            <w:vAlign w:val="bottom"/>
            <w:hideMark/>
          </w:tcPr>
          <w:p w:rsidR="00A95301" w:rsidRPr="00A95301" w:rsidRDefault="00A95301" w:rsidP="00EF52F5">
            <w:pPr>
              <w:spacing w:after="0" w:line="240" w:lineRule="auto"/>
              <w:jc w:val="center"/>
              <w:rPr>
                <w:rFonts w:ascii="Times New Roman" w:eastAsia="Times New Roman" w:hAnsi="Times New Roman" w:cs="Times New Roman"/>
                <w:color w:val="000000"/>
                <w:sz w:val="24"/>
                <w:szCs w:val="24"/>
              </w:rPr>
            </w:pPr>
            <w:r w:rsidRPr="00A95301">
              <w:rPr>
                <w:rFonts w:ascii="Times New Roman" w:eastAsia="Times New Roman" w:hAnsi="Times New Roman" w:cs="Times New Roman"/>
                <w:color w:val="000000"/>
                <w:sz w:val="24"/>
                <w:szCs w:val="24"/>
              </w:rPr>
              <w:t>32</w:t>
            </w:r>
          </w:p>
        </w:tc>
        <w:tc>
          <w:tcPr>
            <w:tcW w:w="1369" w:type="dxa"/>
            <w:tcBorders>
              <w:top w:val="nil"/>
              <w:left w:val="nil"/>
              <w:bottom w:val="single" w:sz="4" w:space="0" w:color="auto"/>
              <w:right w:val="single" w:sz="4" w:space="0" w:color="auto"/>
            </w:tcBorders>
            <w:shd w:val="clear" w:color="auto" w:fill="auto"/>
            <w:noWrap/>
            <w:vAlign w:val="bottom"/>
            <w:hideMark/>
          </w:tcPr>
          <w:p w:rsidR="00A95301" w:rsidRPr="00A95301" w:rsidRDefault="00A95301" w:rsidP="00EF52F5">
            <w:pPr>
              <w:spacing w:after="0" w:line="240" w:lineRule="auto"/>
              <w:jc w:val="center"/>
              <w:rPr>
                <w:rFonts w:ascii="Times New Roman" w:eastAsia="Times New Roman" w:hAnsi="Times New Roman" w:cs="Times New Roman"/>
                <w:color w:val="000000"/>
                <w:sz w:val="24"/>
                <w:szCs w:val="24"/>
              </w:rPr>
            </w:pPr>
            <w:r w:rsidRPr="00A95301">
              <w:rPr>
                <w:rFonts w:ascii="Times New Roman" w:eastAsia="Times New Roman" w:hAnsi="Times New Roman" w:cs="Times New Roman"/>
                <w:color w:val="000000"/>
                <w:sz w:val="24"/>
                <w:szCs w:val="24"/>
              </w:rPr>
              <w:t>16.58</w:t>
            </w:r>
          </w:p>
        </w:tc>
        <w:tc>
          <w:tcPr>
            <w:tcW w:w="1225" w:type="dxa"/>
            <w:tcBorders>
              <w:top w:val="nil"/>
              <w:left w:val="nil"/>
              <w:bottom w:val="single" w:sz="4" w:space="0" w:color="auto"/>
              <w:right w:val="single" w:sz="4" w:space="0" w:color="auto"/>
            </w:tcBorders>
            <w:shd w:val="clear" w:color="auto" w:fill="auto"/>
            <w:noWrap/>
            <w:vAlign w:val="bottom"/>
            <w:hideMark/>
          </w:tcPr>
          <w:p w:rsidR="00A95301" w:rsidRPr="00A95301" w:rsidRDefault="00A95301" w:rsidP="00EF52F5">
            <w:pPr>
              <w:spacing w:after="0" w:line="240" w:lineRule="auto"/>
              <w:jc w:val="center"/>
              <w:rPr>
                <w:rFonts w:ascii="Times New Roman" w:eastAsia="Times New Roman" w:hAnsi="Times New Roman" w:cs="Times New Roman"/>
                <w:color w:val="000000"/>
                <w:sz w:val="24"/>
                <w:szCs w:val="24"/>
              </w:rPr>
            </w:pPr>
            <w:r w:rsidRPr="00A95301">
              <w:rPr>
                <w:rFonts w:ascii="Times New Roman" w:eastAsia="Times New Roman" w:hAnsi="Times New Roman" w:cs="Times New Roman"/>
                <w:color w:val="000000"/>
                <w:sz w:val="24"/>
                <w:szCs w:val="24"/>
              </w:rPr>
              <w:t>46</w:t>
            </w:r>
          </w:p>
        </w:tc>
        <w:tc>
          <w:tcPr>
            <w:tcW w:w="1081" w:type="dxa"/>
            <w:tcBorders>
              <w:top w:val="nil"/>
              <w:left w:val="nil"/>
              <w:bottom w:val="single" w:sz="4" w:space="0" w:color="auto"/>
              <w:right w:val="single" w:sz="4" w:space="0" w:color="auto"/>
            </w:tcBorders>
            <w:shd w:val="clear" w:color="auto" w:fill="auto"/>
            <w:noWrap/>
            <w:vAlign w:val="bottom"/>
            <w:hideMark/>
          </w:tcPr>
          <w:p w:rsidR="00A95301" w:rsidRPr="00A95301" w:rsidRDefault="00A95301" w:rsidP="00EF52F5">
            <w:pPr>
              <w:spacing w:after="0" w:line="240" w:lineRule="auto"/>
              <w:jc w:val="center"/>
              <w:rPr>
                <w:rFonts w:ascii="Times New Roman" w:eastAsia="Times New Roman" w:hAnsi="Times New Roman" w:cs="Times New Roman"/>
                <w:color w:val="000000"/>
                <w:sz w:val="24"/>
                <w:szCs w:val="24"/>
              </w:rPr>
            </w:pPr>
            <w:r w:rsidRPr="00A95301">
              <w:rPr>
                <w:rFonts w:ascii="Times New Roman" w:eastAsia="Times New Roman" w:hAnsi="Times New Roman" w:cs="Times New Roman"/>
                <w:color w:val="000000"/>
                <w:sz w:val="24"/>
                <w:szCs w:val="24"/>
              </w:rPr>
              <w:t>18.6</w:t>
            </w:r>
          </w:p>
        </w:tc>
        <w:tc>
          <w:tcPr>
            <w:tcW w:w="2120" w:type="dxa"/>
            <w:tcBorders>
              <w:top w:val="nil"/>
              <w:left w:val="nil"/>
              <w:bottom w:val="single" w:sz="4" w:space="0" w:color="auto"/>
              <w:right w:val="single" w:sz="4" w:space="0" w:color="auto"/>
            </w:tcBorders>
            <w:shd w:val="clear" w:color="auto" w:fill="auto"/>
            <w:noWrap/>
            <w:vAlign w:val="bottom"/>
            <w:hideMark/>
          </w:tcPr>
          <w:p w:rsidR="00A95301" w:rsidRPr="00A95301" w:rsidRDefault="00A95301" w:rsidP="00EF52F5">
            <w:pPr>
              <w:spacing w:after="0" w:line="240" w:lineRule="auto"/>
              <w:jc w:val="center"/>
              <w:rPr>
                <w:rFonts w:ascii="Calibri" w:eastAsia="Times New Roman" w:hAnsi="Calibri" w:cs="Calibri"/>
                <w:color w:val="000000"/>
              </w:rPr>
            </w:pPr>
            <w:r w:rsidRPr="00A95301">
              <w:rPr>
                <w:rFonts w:ascii="Calibri" w:eastAsia="Times New Roman" w:hAnsi="Calibri" w:cs="Calibri"/>
                <w:color w:val="000000"/>
              </w:rPr>
              <w:t>-30.43</w:t>
            </w:r>
          </w:p>
        </w:tc>
      </w:tr>
      <w:tr w:rsidR="00A95301" w:rsidRPr="00A95301" w:rsidTr="00EF52F5">
        <w:trPr>
          <w:trHeight w:val="310"/>
        </w:trPr>
        <w:tc>
          <w:tcPr>
            <w:tcW w:w="2412" w:type="dxa"/>
            <w:tcBorders>
              <w:top w:val="nil"/>
              <w:left w:val="single" w:sz="4" w:space="0" w:color="auto"/>
              <w:bottom w:val="single" w:sz="4" w:space="0" w:color="auto"/>
              <w:right w:val="single" w:sz="4" w:space="0" w:color="auto"/>
            </w:tcBorders>
            <w:shd w:val="clear" w:color="auto" w:fill="auto"/>
            <w:noWrap/>
            <w:vAlign w:val="center"/>
            <w:hideMark/>
          </w:tcPr>
          <w:p w:rsidR="00A95301" w:rsidRPr="00A95301" w:rsidRDefault="00A95301" w:rsidP="00EF52F5">
            <w:pPr>
              <w:spacing w:after="0" w:line="240" w:lineRule="auto"/>
              <w:jc w:val="center"/>
              <w:rPr>
                <w:rFonts w:ascii="Times New Roman" w:eastAsia="Times New Roman" w:hAnsi="Times New Roman" w:cs="Times New Roman"/>
                <w:color w:val="000000"/>
                <w:sz w:val="24"/>
                <w:szCs w:val="24"/>
              </w:rPr>
            </w:pPr>
            <w:r w:rsidRPr="00A95301">
              <w:rPr>
                <w:rFonts w:ascii="Times New Roman" w:eastAsia="Times New Roman" w:hAnsi="Times New Roman" w:cs="Times New Roman"/>
                <w:color w:val="000000"/>
                <w:sz w:val="24"/>
                <w:szCs w:val="24"/>
              </w:rPr>
              <w:t>February</w:t>
            </w:r>
          </w:p>
        </w:tc>
        <w:tc>
          <w:tcPr>
            <w:tcW w:w="1225" w:type="dxa"/>
            <w:tcBorders>
              <w:top w:val="nil"/>
              <w:left w:val="nil"/>
              <w:bottom w:val="single" w:sz="4" w:space="0" w:color="auto"/>
              <w:right w:val="single" w:sz="4" w:space="0" w:color="auto"/>
            </w:tcBorders>
            <w:shd w:val="clear" w:color="auto" w:fill="auto"/>
            <w:noWrap/>
            <w:vAlign w:val="bottom"/>
            <w:hideMark/>
          </w:tcPr>
          <w:p w:rsidR="00A95301" w:rsidRPr="00A95301" w:rsidRDefault="00A95301" w:rsidP="00EF52F5">
            <w:pPr>
              <w:spacing w:after="0" w:line="240" w:lineRule="auto"/>
              <w:jc w:val="center"/>
              <w:rPr>
                <w:rFonts w:ascii="Times New Roman" w:eastAsia="Times New Roman" w:hAnsi="Times New Roman" w:cs="Times New Roman"/>
                <w:color w:val="000000"/>
                <w:sz w:val="24"/>
                <w:szCs w:val="24"/>
              </w:rPr>
            </w:pPr>
            <w:r w:rsidRPr="00A95301">
              <w:rPr>
                <w:rFonts w:ascii="Times New Roman" w:eastAsia="Times New Roman" w:hAnsi="Times New Roman" w:cs="Times New Roman"/>
                <w:color w:val="000000"/>
                <w:sz w:val="24"/>
                <w:szCs w:val="24"/>
              </w:rPr>
              <w:t>24</w:t>
            </w:r>
          </w:p>
        </w:tc>
        <w:tc>
          <w:tcPr>
            <w:tcW w:w="1369" w:type="dxa"/>
            <w:tcBorders>
              <w:top w:val="nil"/>
              <w:left w:val="nil"/>
              <w:bottom w:val="single" w:sz="4" w:space="0" w:color="auto"/>
              <w:right w:val="single" w:sz="4" w:space="0" w:color="auto"/>
            </w:tcBorders>
            <w:shd w:val="clear" w:color="auto" w:fill="auto"/>
            <w:noWrap/>
            <w:vAlign w:val="bottom"/>
            <w:hideMark/>
          </w:tcPr>
          <w:p w:rsidR="00A95301" w:rsidRPr="00A95301" w:rsidRDefault="00A95301" w:rsidP="00EF52F5">
            <w:pPr>
              <w:spacing w:after="0" w:line="240" w:lineRule="auto"/>
              <w:jc w:val="center"/>
              <w:rPr>
                <w:rFonts w:ascii="Times New Roman" w:eastAsia="Times New Roman" w:hAnsi="Times New Roman" w:cs="Times New Roman"/>
                <w:color w:val="000000"/>
                <w:sz w:val="24"/>
                <w:szCs w:val="24"/>
              </w:rPr>
            </w:pPr>
            <w:r w:rsidRPr="00A95301">
              <w:rPr>
                <w:rFonts w:ascii="Times New Roman" w:eastAsia="Times New Roman" w:hAnsi="Times New Roman" w:cs="Times New Roman"/>
                <w:color w:val="000000"/>
                <w:sz w:val="24"/>
                <w:szCs w:val="24"/>
              </w:rPr>
              <w:t>12.44</w:t>
            </w:r>
          </w:p>
        </w:tc>
        <w:tc>
          <w:tcPr>
            <w:tcW w:w="1225" w:type="dxa"/>
            <w:tcBorders>
              <w:top w:val="nil"/>
              <w:left w:val="nil"/>
              <w:bottom w:val="single" w:sz="4" w:space="0" w:color="auto"/>
              <w:right w:val="single" w:sz="4" w:space="0" w:color="auto"/>
            </w:tcBorders>
            <w:shd w:val="clear" w:color="auto" w:fill="auto"/>
            <w:noWrap/>
            <w:vAlign w:val="bottom"/>
            <w:hideMark/>
          </w:tcPr>
          <w:p w:rsidR="00A95301" w:rsidRPr="00A95301" w:rsidRDefault="00A95301" w:rsidP="00EF52F5">
            <w:pPr>
              <w:spacing w:after="0" w:line="240" w:lineRule="auto"/>
              <w:jc w:val="center"/>
              <w:rPr>
                <w:rFonts w:ascii="Times New Roman" w:eastAsia="Times New Roman" w:hAnsi="Times New Roman" w:cs="Times New Roman"/>
                <w:color w:val="000000"/>
                <w:sz w:val="24"/>
                <w:szCs w:val="24"/>
              </w:rPr>
            </w:pPr>
            <w:r w:rsidRPr="00A95301">
              <w:rPr>
                <w:rFonts w:ascii="Times New Roman" w:eastAsia="Times New Roman" w:hAnsi="Times New Roman" w:cs="Times New Roman"/>
                <w:color w:val="000000"/>
                <w:sz w:val="24"/>
                <w:szCs w:val="24"/>
              </w:rPr>
              <w:t>45</w:t>
            </w:r>
          </w:p>
        </w:tc>
        <w:tc>
          <w:tcPr>
            <w:tcW w:w="1081" w:type="dxa"/>
            <w:tcBorders>
              <w:top w:val="nil"/>
              <w:left w:val="nil"/>
              <w:bottom w:val="single" w:sz="4" w:space="0" w:color="auto"/>
              <w:right w:val="single" w:sz="4" w:space="0" w:color="auto"/>
            </w:tcBorders>
            <w:shd w:val="clear" w:color="auto" w:fill="auto"/>
            <w:noWrap/>
            <w:vAlign w:val="bottom"/>
            <w:hideMark/>
          </w:tcPr>
          <w:p w:rsidR="00A95301" w:rsidRPr="00A95301" w:rsidRDefault="00A95301" w:rsidP="00EF52F5">
            <w:pPr>
              <w:spacing w:after="0" w:line="240" w:lineRule="auto"/>
              <w:jc w:val="center"/>
              <w:rPr>
                <w:rFonts w:ascii="Times New Roman" w:eastAsia="Times New Roman" w:hAnsi="Times New Roman" w:cs="Times New Roman"/>
                <w:color w:val="000000"/>
                <w:sz w:val="24"/>
                <w:szCs w:val="24"/>
              </w:rPr>
            </w:pPr>
            <w:r w:rsidRPr="00A95301">
              <w:rPr>
                <w:rFonts w:ascii="Times New Roman" w:eastAsia="Times New Roman" w:hAnsi="Times New Roman" w:cs="Times New Roman"/>
                <w:color w:val="000000"/>
                <w:sz w:val="24"/>
                <w:szCs w:val="24"/>
              </w:rPr>
              <w:t>18.2</w:t>
            </w:r>
          </w:p>
        </w:tc>
        <w:tc>
          <w:tcPr>
            <w:tcW w:w="2120" w:type="dxa"/>
            <w:tcBorders>
              <w:top w:val="nil"/>
              <w:left w:val="nil"/>
              <w:bottom w:val="single" w:sz="4" w:space="0" w:color="auto"/>
              <w:right w:val="single" w:sz="4" w:space="0" w:color="auto"/>
            </w:tcBorders>
            <w:shd w:val="clear" w:color="auto" w:fill="auto"/>
            <w:noWrap/>
            <w:vAlign w:val="bottom"/>
            <w:hideMark/>
          </w:tcPr>
          <w:p w:rsidR="00A95301" w:rsidRPr="00A95301" w:rsidRDefault="00A95301" w:rsidP="00EF52F5">
            <w:pPr>
              <w:spacing w:after="0" w:line="240" w:lineRule="auto"/>
              <w:jc w:val="center"/>
              <w:rPr>
                <w:rFonts w:ascii="Calibri" w:eastAsia="Times New Roman" w:hAnsi="Calibri" w:cs="Calibri"/>
                <w:color w:val="000000"/>
              </w:rPr>
            </w:pPr>
            <w:r w:rsidRPr="00A95301">
              <w:rPr>
                <w:rFonts w:ascii="Calibri" w:eastAsia="Times New Roman" w:hAnsi="Calibri" w:cs="Calibri"/>
                <w:color w:val="000000"/>
              </w:rPr>
              <w:t>-46.67</w:t>
            </w:r>
          </w:p>
        </w:tc>
      </w:tr>
      <w:tr w:rsidR="00A95301" w:rsidRPr="00A95301" w:rsidTr="00EF52F5">
        <w:trPr>
          <w:trHeight w:val="310"/>
        </w:trPr>
        <w:tc>
          <w:tcPr>
            <w:tcW w:w="2412" w:type="dxa"/>
            <w:tcBorders>
              <w:top w:val="nil"/>
              <w:left w:val="single" w:sz="4" w:space="0" w:color="auto"/>
              <w:bottom w:val="single" w:sz="4" w:space="0" w:color="auto"/>
              <w:right w:val="single" w:sz="4" w:space="0" w:color="auto"/>
            </w:tcBorders>
            <w:shd w:val="clear" w:color="auto" w:fill="auto"/>
            <w:noWrap/>
            <w:vAlign w:val="center"/>
            <w:hideMark/>
          </w:tcPr>
          <w:p w:rsidR="00A95301" w:rsidRPr="00A95301" w:rsidRDefault="00A95301" w:rsidP="00EF52F5">
            <w:pPr>
              <w:spacing w:after="0" w:line="240" w:lineRule="auto"/>
              <w:jc w:val="center"/>
              <w:rPr>
                <w:rFonts w:ascii="Times New Roman" w:eastAsia="Times New Roman" w:hAnsi="Times New Roman" w:cs="Times New Roman"/>
                <w:color w:val="000000"/>
                <w:sz w:val="24"/>
                <w:szCs w:val="24"/>
              </w:rPr>
            </w:pPr>
            <w:r w:rsidRPr="00A95301">
              <w:rPr>
                <w:rFonts w:ascii="Times New Roman" w:eastAsia="Times New Roman" w:hAnsi="Times New Roman" w:cs="Times New Roman"/>
                <w:color w:val="000000"/>
                <w:sz w:val="24"/>
                <w:szCs w:val="24"/>
              </w:rPr>
              <w:t>March</w:t>
            </w:r>
          </w:p>
        </w:tc>
        <w:tc>
          <w:tcPr>
            <w:tcW w:w="1225" w:type="dxa"/>
            <w:tcBorders>
              <w:top w:val="nil"/>
              <w:left w:val="nil"/>
              <w:bottom w:val="single" w:sz="4" w:space="0" w:color="auto"/>
              <w:right w:val="single" w:sz="4" w:space="0" w:color="auto"/>
            </w:tcBorders>
            <w:shd w:val="clear" w:color="auto" w:fill="auto"/>
            <w:noWrap/>
            <w:vAlign w:val="bottom"/>
            <w:hideMark/>
          </w:tcPr>
          <w:p w:rsidR="00A95301" w:rsidRPr="00A95301" w:rsidRDefault="00A95301" w:rsidP="00EF52F5">
            <w:pPr>
              <w:spacing w:after="0" w:line="240" w:lineRule="auto"/>
              <w:jc w:val="center"/>
              <w:rPr>
                <w:rFonts w:ascii="Times New Roman" w:eastAsia="Times New Roman" w:hAnsi="Times New Roman" w:cs="Times New Roman"/>
                <w:color w:val="000000"/>
                <w:sz w:val="24"/>
                <w:szCs w:val="24"/>
              </w:rPr>
            </w:pPr>
            <w:r w:rsidRPr="00A95301">
              <w:rPr>
                <w:rFonts w:ascii="Times New Roman" w:eastAsia="Times New Roman" w:hAnsi="Times New Roman" w:cs="Times New Roman"/>
                <w:color w:val="000000"/>
                <w:sz w:val="24"/>
                <w:szCs w:val="24"/>
              </w:rPr>
              <w:t>41</w:t>
            </w:r>
          </w:p>
        </w:tc>
        <w:tc>
          <w:tcPr>
            <w:tcW w:w="1369" w:type="dxa"/>
            <w:tcBorders>
              <w:top w:val="nil"/>
              <w:left w:val="nil"/>
              <w:bottom w:val="single" w:sz="4" w:space="0" w:color="auto"/>
              <w:right w:val="single" w:sz="4" w:space="0" w:color="auto"/>
            </w:tcBorders>
            <w:shd w:val="clear" w:color="auto" w:fill="auto"/>
            <w:noWrap/>
            <w:vAlign w:val="bottom"/>
            <w:hideMark/>
          </w:tcPr>
          <w:p w:rsidR="00A95301" w:rsidRPr="00A95301" w:rsidRDefault="00A95301" w:rsidP="00EF52F5">
            <w:pPr>
              <w:spacing w:after="0" w:line="240" w:lineRule="auto"/>
              <w:jc w:val="center"/>
              <w:rPr>
                <w:rFonts w:ascii="Times New Roman" w:eastAsia="Times New Roman" w:hAnsi="Times New Roman" w:cs="Times New Roman"/>
                <w:color w:val="000000"/>
                <w:sz w:val="24"/>
                <w:szCs w:val="24"/>
              </w:rPr>
            </w:pPr>
            <w:r w:rsidRPr="00A95301">
              <w:rPr>
                <w:rFonts w:ascii="Times New Roman" w:eastAsia="Times New Roman" w:hAnsi="Times New Roman" w:cs="Times New Roman"/>
                <w:color w:val="000000"/>
                <w:sz w:val="24"/>
                <w:szCs w:val="24"/>
              </w:rPr>
              <w:t>21.24</w:t>
            </w:r>
          </w:p>
        </w:tc>
        <w:tc>
          <w:tcPr>
            <w:tcW w:w="1225" w:type="dxa"/>
            <w:tcBorders>
              <w:top w:val="nil"/>
              <w:left w:val="nil"/>
              <w:bottom w:val="single" w:sz="4" w:space="0" w:color="auto"/>
              <w:right w:val="single" w:sz="4" w:space="0" w:color="auto"/>
            </w:tcBorders>
            <w:shd w:val="clear" w:color="auto" w:fill="auto"/>
            <w:noWrap/>
            <w:vAlign w:val="bottom"/>
            <w:hideMark/>
          </w:tcPr>
          <w:p w:rsidR="00A95301" w:rsidRPr="00A95301" w:rsidRDefault="00A95301" w:rsidP="00EF52F5">
            <w:pPr>
              <w:spacing w:after="0" w:line="240" w:lineRule="auto"/>
              <w:jc w:val="center"/>
              <w:rPr>
                <w:rFonts w:ascii="Times New Roman" w:eastAsia="Times New Roman" w:hAnsi="Times New Roman" w:cs="Times New Roman"/>
                <w:color w:val="000000"/>
                <w:sz w:val="24"/>
                <w:szCs w:val="24"/>
              </w:rPr>
            </w:pPr>
            <w:r w:rsidRPr="00A95301">
              <w:rPr>
                <w:rFonts w:ascii="Times New Roman" w:eastAsia="Times New Roman" w:hAnsi="Times New Roman" w:cs="Times New Roman"/>
                <w:color w:val="000000"/>
                <w:sz w:val="24"/>
                <w:szCs w:val="24"/>
              </w:rPr>
              <w:t>46</w:t>
            </w:r>
          </w:p>
        </w:tc>
        <w:tc>
          <w:tcPr>
            <w:tcW w:w="1081" w:type="dxa"/>
            <w:tcBorders>
              <w:top w:val="nil"/>
              <w:left w:val="nil"/>
              <w:bottom w:val="single" w:sz="4" w:space="0" w:color="auto"/>
              <w:right w:val="single" w:sz="4" w:space="0" w:color="auto"/>
            </w:tcBorders>
            <w:shd w:val="clear" w:color="auto" w:fill="auto"/>
            <w:noWrap/>
            <w:vAlign w:val="bottom"/>
            <w:hideMark/>
          </w:tcPr>
          <w:p w:rsidR="00A95301" w:rsidRPr="00A95301" w:rsidRDefault="00A95301" w:rsidP="00EF52F5">
            <w:pPr>
              <w:spacing w:after="0" w:line="240" w:lineRule="auto"/>
              <w:jc w:val="center"/>
              <w:rPr>
                <w:rFonts w:ascii="Times New Roman" w:eastAsia="Times New Roman" w:hAnsi="Times New Roman" w:cs="Times New Roman"/>
                <w:color w:val="000000"/>
                <w:sz w:val="24"/>
                <w:szCs w:val="24"/>
              </w:rPr>
            </w:pPr>
            <w:r w:rsidRPr="00A95301">
              <w:rPr>
                <w:rFonts w:ascii="Times New Roman" w:eastAsia="Times New Roman" w:hAnsi="Times New Roman" w:cs="Times New Roman"/>
                <w:color w:val="000000"/>
                <w:sz w:val="24"/>
                <w:szCs w:val="24"/>
              </w:rPr>
              <w:t>18.6</w:t>
            </w:r>
          </w:p>
        </w:tc>
        <w:tc>
          <w:tcPr>
            <w:tcW w:w="2120" w:type="dxa"/>
            <w:tcBorders>
              <w:top w:val="nil"/>
              <w:left w:val="nil"/>
              <w:bottom w:val="single" w:sz="4" w:space="0" w:color="auto"/>
              <w:right w:val="single" w:sz="4" w:space="0" w:color="auto"/>
            </w:tcBorders>
            <w:shd w:val="clear" w:color="auto" w:fill="auto"/>
            <w:noWrap/>
            <w:vAlign w:val="bottom"/>
            <w:hideMark/>
          </w:tcPr>
          <w:p w:rsidR="00A95301" w:rsidRPr="00A95301" w:rsidRDefault="00A95301" w:rsidP="00EF52F5">
            <w:pPr>
              <w:spacing w:after="0" w:line="240" w:lineRule="auto"/>
              <w:jc w:val="center"/>
              <w:rPr>
                <w:rFonts w:ascii="Calibri" w:eastAsia="Times New Roman" w:hAnsi="Calibri" w:cs="Calibri"/>
                <w:color w:val="000000"/>
              </w:rPr>
            </w:pPr>
            <w:r w:rsidRPr="00A95301">
              <w:rPr>
                <w:rFonts w:ascii="Calibri" w:eastAsia="Times New Roman" w:hAnsi="Calibri" w:cs="Calibri"/>
                <w:color w:val="000000"/>
              </w:rPr>
              <w:t>-10.87</w:t>
            </w:r>
          </w:p>
        </w:tc>
      </w:tr>
      <w:tr w:rsidR="00A95301" w:rsidRPr="00A95301" w:rsidTr="00EF52F5">
        <w:trPr>
          <w:trHeight w:val="310"/>
        </w:trPr>
        <w:tc>
          <w:tcPr>
            <w:tcW w:w="2412" w:type="dxa"/>
            <w:tcBorders>
              <w:top w:val="nil"/>
              <w:left w:val="single" w:sz="4" w:space="0" w:color="auto"/>
              <w:bottom w:val="single" w:sz="4" w:space="0" w:color="auto"/>
              <w:right w:val="single" w:sz="4" w:space="0" w:color="auto"/>
            </w:tcBorders>
            <w:shd w:val="clear" w:color="auto" w:fill="auto"/>
            <w:noWrap/>
            <w:vAlign w:val="center"/>
            <w:hideMark/>
          </w:tcPr>
          <w:p w:rsidR="00A95301" w:rsidRPr="00A95301" w:rsidRDefault="00A95301" w:rsidP="00EF52F5">
            <w:pPr>
              <w:spacing w:after="0" w:line="240" w:lineRule="auto"/>
              <w:jc w:val="center"/>
              <w:rPr>
                <w:rFonts w:ascii="Times New Roman" w:eastAsia="Times New Roman" w:hAnsi="Times New Roman" w:cs="Times New Roman"/>
                <w:color w:val="000000"/>
                <w:sz w:val="24"/>
                <w:szCs w:val="24"/>
              </w:rPr>
            </w:pPr>
            <w:r w:rsidRPr="00A95301">
              <w:rPr>
                <w:rFonts w:ascii="Times New Roman" w:eastAsia="Times New Roman" w:hAnsi="Times New Roman" w:cs="Times New Roman"/>
                <w:color w:val="000000"/>
                <w:sz w:val="24"/>
                <w:szCs w:val="24"/>
              </w:rPr>
              <w:t>April</w:t>
            </w:r>
          </w:p>
        </w:tc>
        <w:tc>
          <w:tcPr>
            <w:tcW w:w="1225" w:type="dxa"/>
            <w:tcBorders>
              <w:top w:val="nil"/>
              <w:left w:val="nil"/>
              <w:bottom w:val="single" w:sz="4" w:space="0" w:color="auto"/>
              <w:right w:val="single" w:sz="4" w:space="0" w:color="auto"/>
            </w:tcBorders>
            <w:shd w:val="clear" w:color="auto" w:fill="auto"/>
            <w:noWrap/>
            <w:vAlign w:val="bottom"/>
            <w:hideMark/>
          </w:tcPr>
          <w:p w:rsidR="00A95301" w:rsidRPr="00A95301" w:rsidRDefault="00A95301" w:rsidP="00EF52F5">
            <w:pPr>
              <w:spacing w:after="0" w:line="240" w:lineRule="auto"/>
              <w:jc w:val="center"/>
              <w:rPr>
                <w:rFonts w:ascii="Times New Roman" w:eastAsia="Times New Roman" w:hAnsi="Times New Roman" w:cs="Times New Roman"/>
                <w:color w:val="000000"/>
                <w:sz w:val="24"/>
                <w:szCs w:val="24"/>
              </w:rPr>
            </w:pPr>
            <w:r w:rsidRPr="00A95301">
              <w:rPr>
                <w:rFonts w:ascii="Times New Roman" w:eastAsia="Times New Roman" w:hAnsi="Times New Roman" w:cs="Times New Roman"/>
                <w:color w:val="000000"/>
                <w:sz w:val="24"/>
                <w:szCs w:val="24"/>
              </w:rPr>
              <w:t>37</w:t>
            </w:r>
          </w:p>
        </w:tc>
        <w:tc>
          <w:tcPr>
            <w:tcW w:w="1369" w:type="dxa"/>
            <w:tcBorders>
              <w:top w:val="nil"/>
              <w:left w:val="nil"/>
              <w:bottom w:val="single" w:sz="4" w:space="0" w:color="auto"/>
              <w:right w:val="single" w:sz="4" w:space="0" w:color="auto"/>
            </w:tcBorders>
            <w:shd w:val="clear" w:color="auto" w:fill="auto"/>
            <w:noWrap/>
            <w:vAlign w:val="bottom"/>
            <w:hideMark/>
          </w:tcPr>
          <w:p w:rsidR="00A95301" w:rsidRPr="00A95301" w:rsidRDefault="00A95301" w:rsidP="00EF52F5">
            <w:pPr>
              <w:spacing w:after="0" w:line="240" w:lineRule="auto"/>
              <w:jc w:val="center"/>
              <w:rPr>
                <w:rFonts w:ascii="Times New Roman" w:eastAsia="Times New Roman" w:hAnsi="Times New Roman" w:cs="Times New Roman"/>
                <w:color w:val="000000"/>
                <w:sz w:val="24"/>
                <w:szCs w:val="24"/>
              </w:rPr>
            </w:pPr>
            <w:r w:rsidRPr="00A95301">
              <w:rPr>
                <w:rFonts w:ascii="Times New Roman" w:eastAsia="Times New Roman" w:hAnsi="Times New Roman" w:cs="Times New Roman"/>
                <w:color w:val="000000"/>
                <w:sz w:val="24"/>
                <w:szCs w:val="24"/>
              </w:rPr>
              <w:t>19.17</w:t>
            </w:r>
          </w:p>
        </w:tc>
        <w:tc>
          <w:tcPr>
            <w:tcW w:w="1225" w:type="dxa"/>
            <w:tcBorders>
              <w:top w:val="nil"/>
              <w:left w:val="nil"/>
              <w:bottom w:val="single" w:sz="4" w:space="0" w:color="auto"/>
              <w:right w:val="single" w:sz="4" w:space="0" w:color="auto"/>
            </w:tcBorders>
            <w:shd w:val="clear" w:color="auto" w:fill="auto"/>
            <w:noWrap/>
            <w:vAlign w:val="bottom"/>
            <w:hideMark/>
          </w:tcPr>
          <w:p w:rsidR="00A95301" w:rsidRPr="00A95301" w:rsidRDefault="00A95301" w:rsidP="00EF52F5">
            <w:pPr>
              <w:spacing w:after="0" w:line="240" w:lineRule="auto"/>
              <w:jc w:val="center"/>
              <w:rPr>
                <w:rFonts w:ascii="Times New Roman" w:eastAsia="Times New Roman" w:hAnsi="Times New Roman" w:cs="Times New Roman"/>
                <w:color w:val="000000"/>
                <w:sz w:val="24"/>
                <w:szCs w:val="24"/>
              </w:rPr>
            </w:pPr>
            <w:r w:rsidRPr="00A95301">
              <w:rPr>
                <w:rFonts w:ascii="Times New Roman" w:eastAsia="Times New Roman" w:hAnsi="Times New Roman" w:cs="Times New Roman"/>
                <w:color w:val="000000"/>
                <w:sz w:val="24"/>
                <w:szCs w:val="24"/>
              </w:rPr>
              <w:t>48</w:t>
            </w:r>
          </w:p>
        </w:tc>
        <w:tc>
          <w:tcPr>
            <w:tcW w:w="1081" w:type="dxa"/>
            <w:tcBorders>
              <w:top w:val="nil"/>
              <w:left w:val="nil"/>
              <w:bottom w:val="single" w:sz="4" w:space="0" w:color="auto"/>
              <w:right w:val="single" w:sz="4" w:space="0" w:color="auto"/>
            </w:tcBorders>
            <w:shd w:val="clear" w:color="auto" w:fill="auto"/>
            <w:noWrap/>
            <w:vAlign w:val="bottom"/>
            <w:hideMark/>
          </w:tcPr>
          <w:p w:rsidR="00A95301" w:rsidRPr="00A95301" w:rsidRDefault="00A95301" w:rsidP="00EF52F5">
            <w:pPr>
              <w:spacing w:after="0" w:line="240" w:lineRule="auto"/>
              <w:jc w:val="center"/>
              <w:rPr>
                <w:rFonts w:ascii="Times New Roman" w:eastAsia="Times New Roman" w:hAnsi="Times New Roman" w:cs="Times New Roman"/>
                <w:color w:val="000000"/>
                <w:sz w:val="24"/>
                <w:szCs w:val="24"/>
              </w:rPr>
            </w:pPr>
            <w:r w:rsidRPr="00A95301">
              <w:rPr>
                <w:rFonts w:ascii="Times New Roman" w:eastAsia="Times New Roman" w:hAnsi="Times New Roman" w:cs="Times New Roman"/>
                <w:color w:val="000000"/>
                <w:sz w:val="24"/>
                <w:szCs w:val="24"/>
              </w:rPr>
              <w:t>19.4</w:t>
            </w:r>
          </w:p>
        </w:tc>
        <w:tc>
          <w:tcPr>
            <w:tcW w:w="2120" w:type="dxa"/>
            <w:tcBorders>
              <w:top w:val="nil"/>
              <w:left w:val="nil"/>
              <w:bottom w:val="single" w:sz="4" w:space="0" w:color="auto"/>
              <w:right w:val="single" w:sz="4" w:space="0" w:color="auto"/>
            </w:tcBorders>
            <w:shd w:val="clear" w:color="auto" w:fill="auto"/>
            <w:noWrap/>
            <w:vAlign w:val="bottom"/>
            <w:hideMark/>
          </w:tcPr>
          <w:p w:rsidR="00A95301" w:rsidRPr="00A95301" w:rsidRDefault="00A95301" w:rsidP="00EF52F5">
            <w:pPr>
              <w:spacing w:after="0" w:line="240" w:lineRule="auto"/>
              <w:jc w:val="center"/>
              <w:rPr>
                <w:rFonts w:ascii="Calibri" w:eastAsia="Times New Roman" w:hAnsi="Calibri" w:cs="Calibri"/>
                <w:color w:val="000000"/>
              </w:rPr>
            </w:pPr>
            <w:r w:rsidRPr="00A95301">
              <w:rPr>
                <w:rFonts w:ascii="Calibri" w:eastAsia="Times New Roman" w:hAnsi="Calibri" w:cs="Calibri"/>
                <w:color w:val="000000"/>
              </w:rPr>
              <w:t>-22.92</w:t>
            </w:r>
          </w:p>
        </w:tc>
      </w:tr>
      <w:tr w:rsidR="00A95301" w:rsidRPr="00A95301" w:rsidTr="00EF52F5">
        <w:trPr>
          <w:trHeight w:val="310"/>
        </w:trPr>
        <w:tc>
          <w:tcPr>
            <w:tcW w:w="2412" w:type="dxa"/>
            <w:tcBorders>
              <w:top w:val="nil"/>
              <w:left w:val="single" w:sz="4" w:space="0" w:color="auto"/>
              <w:bottom w:val="single" w:sz="4" w:space="0" w:color="auto"/>
              <w:right w:val="single" w:sz="4" w:space="0" w:color="auto"/>
            </w:tcBorders>
            <w:shd w:val="clear" w:color="auto" w:fill="auto"/>
            <w:noWrap/>
            <w:vAlign w:val="center"/>
            <w:hideMark/>
          </w:tcPr>
          <w:p w:rsidR="00A95301" w:rsidRPr="00A95301" w:rsidRDefault="00A95301" w:rsidP="00EF52F5">
            <w:pPr>
              <w:spacing w:after="0" w:line="240" w:lineRule="auto"/>
              <w:jc w:val="center"/>
              <w:rPr>
                <w:rFonts w:ascii="Times New Roman" w:eastAsia="Times New Roman" w:hAnsi="Times New Roman" w:cs="Times New Roman"/>
                <w:color w:val="000000"/>
                <w:sz w:val="24"/>
                <w:szCs w:val="24"/>
              </w:rPr>
            </w:pPr>
            <w:r w:rsidRPr="00A95301">
              <w:rPr>
                <w:rFonts w:ascii="Times New Roman" w:eastAsia="Times New Roman" w:hAnsi="Times New Roman" w:cs="Times New Roman"/>
                <w:color w:val="000000"/>
                <w:sz w:val="24"/>
                <w:szCs w:val="24"/>
              </w:rPr>
              <w:t>May</w:t>
            </w:r>
          </w:p>
        </w:tc>
        <w:tc>
          <w:tcPr>
            <w:tcW w:w="1225" w:type="dxa"/>
            <w:tcBorders>
              <w:top w:val="nil"/>
              <w:left w:val="nil"/>
              <w:bottom w:val="single" w:sz="4" w:space="0" w:color="auto"/>
              <w:right w:val="single" w:sz="4" w:space="0" w:color="auto"/>
            </w:tcBorders>
            <w:shd w:val="clear" w:color="auto" w:fill="auto"/>
            <w:noWrap/>
            <w:vAlign w:val="bottom"/>
            <w:hideMark/>
          </w:tcPr>
          <w:p w:rsidR="00A95301" w:rsidRPr="00A95301" w:rsidRDefault="00A95301" w:rsidP="00EF52F5">
            <w:pPr>
              <w:spacing w:after="0" w:line="240" w:lineRule="auto"/>
              <w:jc w:val="center"/>
              <w:rPr>
                <w:rFonts w:ascii="Times New Roman" w:eastAsia="Times New Roman" w:hAnsi="Times New Roman" w:cs="Times New Roman"/>
                <w:color w:val="000000"/>
                <w:sz w:val="24"/>
                <w:szCs w:val="24"/>
              </w:rPr>
            </w:pPr>
            <w:r w:rsidRPr="00A95301">
              <w:rPr>
                <w:rFonts w:ascii="Times New Roman" w:eastAsia="Times New Roman" w:hAnsi="Times New Roman" w:cs="Times New Roman"/>
                <w:color w:val="000000"/>
                <w:sz w:val="24"/>
                <w:szCs w:val="24"/>
              </w:rPr>
              <w:t>26</w:t>
            </w:r>
          </w:p>
        </w:tc>
        <w:tc>
          <w:tcPr>
            <w:tcW w:w="1369" w:type="dxa"/>
            <w:tcBorders>
              <w:top w:val="nil"/>
              <w:left w:val="nil"/>
              <w:bottom w:val="single" w:sz="4" w:space="0" w:color="auto"/>
              <w:right w:val="single" w:sz="4" w:space="0" w:color="auto"/>
            </w:tcBorders>
            <w:shd w:val="clear" w:color="auto" w:fill="auto"/>
            <w:noWrap/>
            <w:vAlign w:val="bottom"/>
            <w:hideMark/>
          </w:tcPr>
          <w:p w:rsidR="00A95301" w:rsidRPr="00A95301" w:rsidRDefault="00A95301" w:rsidP="00EF52F5">
            <w:pPr>
              <w:spacing w:after="0" w:line="240" w:lineRule="auto"/>
              <w:jc w:val="center"/>
              <w:rPr>
                <w:rFonts w:ascii="Times New Roman" w:eastAsia="Times New Roman" w:hAnsi="Times New Roman" w:cs="Times New Roman"/>
                <w:color w:val="000000"/>
                <w:sz w:val="24"/>
                <w:szCs w:val="24"/>
              </w:rPr>
            </w:pPr>
            <w:r w:rsidRPr="00A95301">
              <w:rPr>
                <w:rFonts w:ascii="Times New Roman" w:eastAsia="Times New Roman" w:hAnsi="Times New Roman" w:cs="Times New Roman"/>
                <w:color w:val="000000"/>
                <w:sz w:val="24"/>
                <w:szCs w:val="24"/>
              </w:rPr>
              <w:t>13.47</w:t>
            </w:r>
          </w:p>
        </w:tc>
        <w:tc>
          <w:tcPr>
            <w:tcW w:w="1225" w:type="dxa"/>
            <w:tcBorders>
              <w:top w:val="nil"/>
              <w:left w:val="nil"/>
              <w:bottom w:val="single" w:sz="4" w:space="0" w:color="auto"/>
              <w:right w:val="single" w:sz="4" w:space="0" w:color="auto"/>
            </w:tcBorders>
            <w:shd w:val="clear" w:color="auto" w:fill="auto"/>
            <w:noWrap/>
            <w:vAlign w:val="bottom"/>
            <w:hideMark/>
          </w:tcPr>
          <w:p w:rsidR="00A95301" w:rsidRPr="00A95301" w:rsidRDefault="00A95301" w:rsidP="00EF52F5">
            <w:pPr>
              <w:spacing w:after="0" w:line="240" w:lineRule="auto"/>
              <w:jc w:val="center"/>
              <w:rPr>
                <w:rFonts w:ascii="Times New Roman" w:eastAsia="Times New Roman" w:hAnsi="Times New Roman" w:cs="Times New Roman"/>
                <w:color w:val="000000"/>
                <w:sz w:val="24"/>
                <w:szCs w:val="24"/>
              </w:rPr>
            </w:pPr>
            <w:r w:rsidRPr="00A95301">
              <w:rPr>
                <w:rFonts w:ascii="Times New Roman" w:eastAsia="Times New Roman" w:hAnsi="Times New Roman" w:cs="Times New Roman"/>
                <w:color w:val="000000"/>
                <w:sz w:val="24"/>
                <w:szCs w:val="24"/>
              </w:rPr>
              <w:t>34</w:t>
            </w:r>
          </w:p>
        </w:tc>
        <w:tc>
          <w:tcPr>
            <w:tcW w:w="1081" w:type="dxa"/>
            <w:tcBorders>
              <w:top w:val="nil"/>
              <w:left w:val="nil"/>
              <w:bottom w:val="single" w:sz="4" w:space="0" w:color="auto"/>
              <w:right w:val="single" w:sz="4" w:space="0" w:color="auto"/>
            </w:tcBorders>
            <w:shd w:val="clear" w:color="auto" w:fill="auto"/>
            <w:noWrap/>
            <w:vAlign w:val="bottom"/>
            <w:hideMark/>
          </w:tcPr>
          <w:p w:rsidR="00A95301" w:rsidRPr="00A95301" w:rsidRDefault="00A95301" w:rsidP="00EF52F5">
            <w:pPr>
              <w:spacing w:after="0" w:line="240" w:lineRule="auto"/>
              <w:jc w:val="center"/>
              <w:rPr>
                <w:rFonts w:ascii="Times New Roman" w:eastAsia="Times New Roman" w:hAnsi="Times New Roman" w:cs="Times New Roman"/>
                <w:color w:val="000000"/>
                <w:sz w:val="24"/>
                <w:szCs w:val="24"/>
              </w:rPr>
            </w:pPr>
            <w:r w:rsidRPr="00A95301">
              <w:rPr>
                <w:rFonts w:ascii="Times New Roman" w:eastAsia="Times New Roman" w:hAnsi="Times New Roman" w:cs="Times New Roman"/>
                <w:color w:val="000000"/>
                <w:sz w:val="24"/>
                <w:szCs w:val="24"/>
              </w:rPr>
              <w:t>13.8</w:t>
            </w:r>
          </w:p>
        </w:tc>
        <w:tc>
          <w:tcPr>
            <w:tcW w:w="2120" w:type="dxa"/>
            <w:tcBorders>
              <w:top w:val="nil"/>
              <w:left w:val="nil"/>
              <w:bottom w:val="single" w:sz="4" w:space="0" w:color="auto"/>
              <w:right w:val="single" w:sz="4" w:space="0" w:color="auto"/>
            </w:tcBorders>
            <w:shd w:val="clear" w:color="auto" w:fill="auto"/>
            <w:noWrap/>
            <w:vAlign w:val="bottom"/>
            <w:hideMark/>
          </w:tcPr>
          <w:p w:rsidR="00A95301" w:rsidRPr="00A95301" w:rsidRDefault="00A95301" w:rsidP="00EF52F5">
            <w:pPr>
              <w:spacing w:after="0" w:line="240" w:lineRule="auto"/>
              <w:jc w:val="center"/>
              <w:rPr>
                <w:rFonts w:ascii="Calibri" w:eastAsia="Times New Roman" w:hAnsi="Calibri" w:cs="Calibri"/>
                <w:color w:val="000000"/>
              </w:rPr>
            </w:pPr>
            <w:r w:rsidRPr="00A95301">
              <w:rPr>
                <w:rFonts w:ascii="Calibri" w:eastAsia="Times New Roman" w:hAnsi="Calibri" w:cs="Calibri"/>
                <w:color w:val="000000"/>
              </w:rPr>
              <w:t>-23.53</w:t>
            </w:r>
          </w:p>
        </w:tc>
      </w:tr>
      <w:tr w:rsidR="00A95301" w:rsidRPr="00A95301" w:rsidTr="00EF52F5">
        <w:trPr>
          <w:trHeight w:val="310"/>
        </w:trPr>
        <w:tc>
          <w:tcPr>
            <w:tcW w:w="2412" w:type="dxa"/>
            <w:tcBorders>
              <w:top w:val="nil"/>
              <w:left w:val="single" w:sz="4" w:space="0" w:color="auto"/>
              <w:bottom w:val="single" w:sz="4" w:space="0" w:color="auto"/>
              <w:right w:val="single" w:sz="4" w:space="0" w:color="auto"/>
            </w:tcBorders>
            <w:shd w:val="clear" w:color="auto" w:fill="auto"/>
            <w:noWrap/>
            <w:vAlign w:val="center"/>
            <w:hideMark/>
          </w:tcPr>
          <w:p w:rsidR="00A95301" w:rsidRPr="00A95301" w:rsidRDefault="00A95301" w:rsidP="00EF52F5">
            <w:pPr>
              <w:spacing w:after="0" w:line="240" w:lineRule="auto"/>
              <w:jc w:val="center"/>
              <w:rPr>
                <w:rFonts w:ascii="Times New Roman" w:eastAsia="Times New Roman" w:hAnsi="Times New Roman" w:cs="Times New Roman"/>
                <w:color w:val="000000"/>
                <w:sz w:val="24"/>
                <w:szCs w:val="24"/>
              </w:rPr>
            </w:pPr>
            <w:r w:rsidRPr="00A95301">
              <w:rPr>
                <w:rFonts w:ascii="Times New Roman" w:eastAsia="Times New Roman" w:hAnsi="Times New Roman" w:cs="Times New Roman"/>
                <w:color w:val="000000"/>
                <w:sz w:val="24"/>
                <w:szCs w:val="24"/>
              </w:rPr>
              <w:t>June</w:t>
            </w:r>
          </w:p>
        </w:tc>
        <w:tc>
          <w:tcPr>
            <w:tcW w:w="1225" w:type="dxa"/>
            <w:tcBorders>
              <w:top w:val="nil"/>
              <w:left w:val="nil"/>
              <w:bottom w:val="single" w:sz="4" w:space="0" w:color="auto"/>
              <w:right w:val="single" w:sz="4" w:space="0" w:color="auto"/>
            </w:tcBorders>
            <w:shd w:val="clear" w:color="auto" w:fill="auto"/>
            <w:noWrap/>
            <w:vAlign w:val="bottom"/>
            <w:hideMark/>
          </w:tcPr>
          <w:p w:rsidR="00A95301" w:rsidRPr="00A95301" w:rsidRDefault="00A95301" w:rsidP="00EF52F5">
            <w:pPr>
              <w:spacing w:after="0" w:line="240" w:lineRule="auto"/>
              <w:jc w:val="center"/>
              <w:rPr>
                <w:rFonts w:ascii="Times New Roman" w:eastAsia="Times New Roman" w:hAnsi="Times New Roman" w:cs="Times New Roman"/>
                <w:color w:val="000000"/>
                <w:sz w:val="24"/>
                <w:szCs w:val="24"/>
              </w:rPr>
            </w:pPr>
            <w:r w:rsidRPr="00A95301">
              <w:rPr>
                <w:rFonts w:ascii="Times New Roman" w:eastAsia="Times New Roman" w:hAnsi="Times New Roman" w:cs="Times New Roman"/>
                <w:color w:val="000000"/>
                <w:sz w:val="24"/>
                <w:szCs w:val="24"/>
              </w:rPr>
              <w:t>33</w:t>
            </w:r>
          </w:p>
        </w:tc>
        <w:tc>
          <w:tcPr>
            <w:tcW w:w="1369" w:type="dxa"/>
            <w:tcBorders>
              <w:top w:val="nil"/>
              <w:left w:val="nil"/>
              <w:bottom w:val="single" w:sz="4" w:space="0" w:color="auto"/>
              <w:right w:val="single" w:sz="4" w:space="0" w:color="auto"/>
            </w:tcBorders>
            <w:shd w:val="clear" w:color="auto" w:fill="auto"/>
            <w:noWrap/>
            <w:vAlign w:val="bottom"/>
            <w:hideMark/>
          </w:tcPr>
          <w:p w:rsidR="00A95301" w:rsidRPr="00A95301" w:rsidRDefault="00A95301" w:rsidP="00EF52F5">
            <w:pPr>
              <w:spacing w:after="0" w:line="240" w:lineRule="auto"/>
              <w:jc w:val="center"/>
              <w:rPr>
                <w:rFonts w:ascii="Times New Roman" w:eastAsia="Times New Roman" w:hAnsi="Times New Roman" w:cs="Times New Roman"/>
                <w:color w:val="000000"/>
                <w:sz w:val="24"/>
                <w:szCs w:val="24"/>
              </w:rPr>
            </w:pPr>
            <w:r w:rsidRPr="00A95301">
              <w:rPr>
                <w:rFonts w:ascii="Times New Roman" w:eastAsia="Times New Roman" w:hAnsi="Times New Roman" w:cs="Times New Roman"/>
                <w:color w:val="000000"/>
                <w:sz w:val="24"/>
                <w:szCs w:val="24"/>
              </w:rPr>
              <w:t>17.10</w:t>
            </w:r>
          </w:p>
        </w:tc>
        <w:tc>
          <w:tcPr>
            <w:tcW w:w="1225" w:type="dxa"/>
            <w:tcBorders>
              <w:top w:val="nil"/>
              <w:left w:val="nil"/>
              <w:bottom w:val="single" w:sz="4" w:space="0" w:color="auto"/>
              <w:right w:val="single" w:sz="4" w:space="0" w:color="auto"/>
            </w:tcBorders>
            <w:shd w:val="clear" w:color="auto" w:fill="auto"/>
            <w:noWrap/>
            <w:vAlign w:val="bottom"/>
            <w:hideMark/>
          </w:tcPr>
          <w:p w:rsidR="00A95301" w:rsidRPr="00A95301" w:rsidRDefault="00A95301" w:rsidP="00EF52F5">
            <w:pPr>
              <w:spacing w:after="0" w:line="240" w:lineRule="auto"/>
              <w:jc w:val="center"/>
              <w:rPr>
                <w:rFonts w:ascii="Times New Roman" w:eastAsia="Times New Roman" w:hAnsi="Times New Roman" w:cs="Times New Roman"/>
                <w:color w:val="000000"/>
                <w:sz w:val="24"/>
                <w:szCs w:val="24"/>
              </w:rPr>
            </w:pPr>
            <w:r w:rsidRPr="00A95301">
              <w:rPr>
                <w:rFonts w:ascii="Times New Roman" w:eastAsia="Times New Roman" w:hAnsi="Times New Roman" w:cs="Times New Roman"/>
                <w:color w:val="000000"/>
                <w:sz w:val="24"/>
                <w:szCs w:val="24"/>
              </w:rPr>
              <w:t>28</w:t>
            </w:r>
          </w:p>
        </w:tc>
        <w:tc>
          <w:tcPr>
            <w:tcW w:w="1081" w:type="dxa"/>
            <w:tcBorders>
              <w:top w:val="nil"/>
              <w:left w:val="nil"/>
              <w:bottom w:val="single" w:sz="4" w:space="0" w:color="auto"/>
              <w:right w:val="single" w:sz="4" w:space="0" w:color="auto"/>
            </w:tcBorders>
            <w:shd w:val="clear" w:color="auto" w:fill="auto"/>
            <w:noWrap/>
            <w:vAlign w:val="bottom"/>
            <w:hideMark/>
          </w:tcPr>
          <w:p w:rsidR="00A95301" w:rsidRPr="00A95301" w:rsidRDefault="00A95301" w:rsidP="00EF52F5">
            <w:pPr>
              <w:spacing w:after="0" w:line="240" w:lineRule="auto"/>
              <w:jc w:val="center"/>
              <w:rPr>
                <w:rFonts w:ascii="Times New Roman" w:eastAsia="Times New Roman" w:hAnsi="Times New Roman" w:cs="Times New Roman"/>
                <w:color w:val="000000"/>
                <w:sz w:val="24"/>
                <w:szCs w:val="24"/>
              </w:rPr>
            </w:pPr>
            <w:r w:rsidRPr="00A95301">
              <w:rPr>
                <w:rFonts w:ascii="Times New Roman" w:eastAsia="Times New Roman" w:hAnsi="Times New Roman" w:cs="Times New Roman"/>
                <w:color w:val="000000"/>
                <w:sz w:val="24"/>
                <w:szCs w:val="24"/>
              </w:rPr>
              <w:t>11.3</w:t>
            </w:r>
          </w:p>
        </w:tc>
        <w:tc>
          <w:tcPr>
            <w:tcW w:w="2120" w:type="dxa"/>
            <w:tcBorders>
              <w:top w:val="nil"/>
              <w:left w:val="nil"/>
              <w:bottom w:val="single" w:sz="4" w:space="0" w:color="auto"/>
              <w:right w:val="single" w:sz="4" w:space="0" w:color="auto"/>
            </w:tcBorders>
            <w:shd w:val="clear" w:color="auto" w:fill="auto"/>
            <w:noWrap/>
            <w:vAlign w:val="bottom"/>
            <w:hideMark/>
          </w:tcPr>
          <w:p w:rsidR="00A95301" w:rsidRPr="00A95301" w:rsidRDefault="00A95301" w:rsidP="00EF52F5">
            <w:pPr>
              <w:spacing w:after="0" w:line="240" w:lineRule="auto"/>
              <w:jc w:val="center"/>
              <w:rPr>
                <w:rFonts w:ascii="Calibri" w:eastAsia="Times New Roman" w:hAnsi="Calibri" w:cs="Calibri"/>
                <w:color w:val="000000"/>
              </w:rPr>
            </w:pPr>
            <w:r w:rsidRPr="00A95301">
              <w:rPr>
                <w:rFonts w:ascii="Calibri" w:eastAsia="Times New Roman" w:hAnsi="Calibri" w:cs="Calibri"/>
                <w:color w:val="000000"/>
              </w:rPr>
              <w:t>17.86</w:t>
            </w:r>
          </w:p>
        </w:tc>
      </w:tr>
      <w:tr w:rsidR="00A95301" w:rsidRPr="00A95301" w:rsidTr="00EF52F5">
        <w:trPr>
          <w:trHeight w:val="310"/>
        </w:trPr>
        <w:tc>
          <w:tcPr>
            <w:tcW w:w="2412" w:type="dxa"/>
            <w:tcBorders>
              <w:top w:val="nil"/>
              <w:left w:val="single" w:sz="4" w:space="0" w:color="auto"/>
              <w:bottom w:val="single" w:sz="4" w:space="0" w:color="auto"/>
              <w:right w:val="single" w:sz="4" w:space="0" w:color="auto"/>
            </w:tcBorders>
            <w:shd w:val="clear" w:color="auto" w:fill="auto"/>
            <w:noWrap/>
            <w:vAlign w:val="center"/>
            <w:hideMark/>
          </w:tcPr>
          <w:p w:rsidR="00A95301" w:rsidRPr="00A95301" w:rsidRDefault="00A95301" w:rsidP="00EF52F5">
            <w:pPr>
              <w:spacing w:after="0" w:line="240" w:lineRule="auto"/>
              <w:jc w:val="center"/>
              <w:rPr>
                <w:rFonts w:ascii="Times New Roman" w:eastAsia="Times New Roman" w:hAnsi="Times New Roman" w:cs="Times New Roman"/>
                <w:b/>
                <w:bCs/>
                <w:color w:val="000000"/>
                <w:sz w:val="24"/>
                <w:szCs w:val="24"/>
              </w:rPr>
            </w:pPr>
            <w:r w:rsidRPr="00A95301">
              <w:rPr>
                <w:rFonts w:ascii="Times New Roman" w:eastAsia="Times New Roman" w:hAnsi="Times New Roman" w:cs="Times New Roman"/>
                <w:b/>
                <w:bCs/>
                <w:color w:val="000000"/>
                <w:sz w:val="24"/>
                <w:szCs w:val="24"/>
              </w:rPr>
              <w:t>Total</w:t>
            </w:r>
          </w:p>
        </w:tc>
        <w:tc>
          <w:tcPr>
            <w:tcW w:w="1225" w:type="dxa"/>
            <w:tcBorders>
              <w:top w:val="nil"/>
              <w:left w:val="nil"/>
              <w:bottom w:val="single" w:sz="4" w:space="0" w:color="auto"/>
              <w:right w:val="single" w:sz="4" w:space="0" w:color="auto"/>
            </w:tcBorders>
            <w:shd w:val="clear" w:color="auto" w:fill="auto"/>
            <w:noWrap/>
            <w:vAlign w:val="bottom"/>
            <w:hideMark/>
          </w:tcPr>
          <w:p w:rsidR="00A95301" w:rsidRPr="00A95301" w:rsidRDefault="00A95301" w:rsidP="00EF52F5">
            <w:pPr>
              <w:spacing w:after="0" w:line="240" w:lineRule="auto"/>
              <w:jc w:val="center"/>
              <w:rPr>
                <w:rFonts w:ascii="Times New Roman" w:eastAsia="Times New Roman" w:hAnsi="Times New Roman" w:cs="Times New Roman"/>
                <w:b/>
                <w:bCs/>
                <w:color w:val="000000"/>
                <w:sz w:val="24"/>
                <w:szCs w:val="24"/>
              </w:rPr>
            </w:pPr>
            <w:r w:rsidRPr="00A95301">
              <w:rPr>
                <w:rFonts w:ascii="Times New Roman" w:eastAsia="Times New Roman" w:hAnsi="Times New Roman" w:cs="Times New Roman"/>
                <w:b/>
                <w:bCs/>
                <w:color w:val="000000"/>
                <w:sz w:val="24"/>
                <w:szCs w:val="24"/>
              </w:rPr>
              <w:t>193</w:t>
            </w:r>
          </w:p>
        </w:tc>
        <w:tc>
          <w:tcPr>
            <w:tcW w:w="1369" w:type="dxa"/>
            <w:tcBorders>
              <w:top w:val="nil"/>
              <w:left w:val="nil"/>
              <w:bottom w:val="single" w:sz="4" w:space="0" w:color="auto"/>
              <w:right w:val="single" w:sz="4" w:space="0" w:color="auto"/>
            </w:tcBorders>
            <w:shd w:val="clear" w:color="auto" w:fill="auto"/>
            <w:noWrap/>
            <w:vAlign w:val="bottom"/>
            <w:hideMark/>
          </w:tcPr>
          <w:p w:rsidR="00A95301" w:rsidRPr="00A95301" w:rsidRDefault="00A95301" w:rsidP="00EF52F5">
            <w:pPr>
              <w:spacing w:after="0" w:line="240" w:lineRule="auto"/>
              <w:jc w:val="center"/>
              <w:rPr>
                <w:rFonts w:ascii="Times New Roman" w:eastAsia="Times New Roman" w:hAnsi="Times New Roman" w:cs="Times New Roman"/>
                <w:b/>
                <w:bCs/>
                <w:color w:val="000000"/>
                <w:sz w:val="24"/>
                <w:szCs w:val="24"/>
              </w:rPr>
            </w:pPr>
            <w:r w:rsidRPr="00A95301">
              <w:rPr>
                <w:rFonts w:ascii="Times New Roman" w:eastAsia="Times New Roman" w:hAnsi="Times New Roman" w:cs="Times New Roman"/>
                <w:b/>
                <w:bCs/>
                <w:color w:val="000000"/>
                <w:sz w:val="24"/>
                <w:szCs w:val="24"/>
              </w:rPr>
              <w:t>100</w:t>
            </w:r>
          </w:p>
        </w:tc>
        <w:tc>
          <w:tcPr>
            <w:tcW w:w="1225" w:type="dxa"/>
            <w:tcBorders>
              <w:top w:val="nil"/>
              <w:left w:val="nil"/>
              <w:bottom w:val="single" w:sz="4" w:space="0" w:color="auto"/>
              <w:right w:val="single" w:sz="4" w:space="0" w:color="auto"/>
            </w:tcBorders>
            <w:shd w:val="clear" w:color="auto" w:fill="auto"/>
            <w:noWrap/>
            <w:vAlign w:val="bottom"/>
            <w:hideMark/>
          </w:tcPr>
          <w:p w:rsidR="00A95301" w:rsidRPr="00A95301" w:rsidRDefault="00A95301" w:rsidP="00EF52F5">
            <w:pPr>
              <w:spacing w:after="0" w:line="240" w:lineRule="auto"/>
              <w:jc w:val="center"/>
              <w:rPr>
                <w:rFonts w:ascii="Times New Roman" w:eastAsia="Times New Roman" w:hAnsi="Times New Roman" w:cs="Times New Roman"/>
                <w:b/>
                <w:bCs/>
                <w:color w:val="000000"/>
                <w:sz w:val="24"/>
                <w:szCs w:val="24"/>
              </w:rPr>
            </w:pPr>
            <w:r w:rsidRPr="00A95301">
              <w:rPr>
                <w:rFonts w:ascii="Times New Roman" w:eastAsia="Times New Roman" w:hAnsi="Times New Roman" w:cs="Times New Roman"/>
                <w:b/>
                <w:bCs/>
                <w:color w:val="000000"/>
                <w:sz w:val="24"/>
                <w:szCs w:val="24"/>
              </w:rPr>
              <w:t>247</w:t>
            </w:r>
          </w:p>
        </w:tc>
        <w:tc>
          <w:tcPr>
            <w:tcW w:w="1081" w:type="dxa"/>
            <w:tcBorders>
              <w:top w:val="nil"/>
              <w:left w:val="nil"/>
              <w:bottom w:val="single" w:sz="4" w:space="0" w:color="auto"/>
              <w:right w:val="single" w:sz="4" w:space="0" w:color="auto"/>
            </w:tcBorders>
            <w:shd w:val="clear" w:color="auto" w:fill="auto"/>
            <w:noWrap/>
            <w:vAlign w:val="bottom"/>
            <w:hideMark/>
          </w:tcPr>
          <w:p w:rsidR="00A95301" w:rsidRPr="00A95301" w:rsidRDefault="00A95301" w:rsidP="00EF52F5">
            <w:pPr>
              <w:spacing w:after="0" w:line="240" w:lineRule="auto"/>
              <w:jc w:val="center"/>
              <w:rPr>
                <w:rFonts w:ascii="Times New Roman" w:eastAsia="Times New Roman" w:hAnsi="Times New Roman" w:cs="Times New Roman"/>
                <w:b/>
                <w:bCs/>
                <w:color w:val="000000"/>
                <w:sz w:val="24"/>
                <w:szCs w:val="24"/>
              </w:rPr>
            </w:pPr>
            <w:r w:rsidRPr="00A95301">
              <w:rPr>
                <w:rFonts w:ascii="Times New Roman" w:eastAsia="Times New Roman" w:hAnsi="Times New Roman" w:cs="Times New Roman"/>
                <w:b/>
                <w:bCs/>
                <w:color w:val="000000"/>
                <w:sz w:val="24"/>
                <w:szCs w:val="24"/>
              </w:rPr>
              <w:t>100</w:t>
            </w:r>
          </w:p>
        </w:tc>
        <w:tc>
          <w:tcPr>
            <w:tcW w:w="2120" w:type="dxa"/>
            <w:tcBorders>
              <w:top w:val="nil"/>
              <w:left w:val="nil"/>
              <w:bottom w:val="single" w:sz="4" w:space="0" w:color="auto"/>
              <w:right w:val="single" w:sz="4" w:space="0" w:color="auto"/>
            </w:tcBorders>
            <w:shd w:val="clear" w:color="auto" w:fill="auto"/>
            <w:noWrap/>
            <w:vAlign w:val="bottom"/>
            <w:hideMark/>
          </w:tcPr>
          <w:p w:rsidR="00A95301" w:rsidRPr="00A95301" w:rsidRDefault="00A95301" w:rsidP="00EF52F5">
            <w:pPr>
              <w:spacing w:after="0" w:line="240" w:lineRule="auto"/>
              <w:jc w:val="center"/>
              <w:rPr>
                <w:rFonts w:ascii="Calibri" w:eastAsia="Times New Roman" w:hAnsi="Calibri" w:cs="Calibri"/>
                <w:color w:val="000000"/>
              </w:rPr>
            </w:pPr>
          </w:p>
        </w:tc>
      </w:tr>
    </w:tbl>
    <w:p w:rsidR="00A95301" w:rsidRDefault="00A95301"/>
    <w:p w:rsidR="008D39FA" w:rsidRDefault="008D39FA">
      <w:r>
        <w:t xml:space="preserve">Figure 2: </w:t>
      </w:r>
      <w:r>
        <w:rPr>
          <w:rFonts w:ascii="Times New Roman" w:hAnsi="Times New Roman" w:cs="Times New Roman"/>
          <w:sz w:val="24"/>
        </w:rPr>
        <w:t>Monthly Distribution of crashes for Jan to June 2021 and Jan to June 2022</w:t>
      </w:r>
    </w:p>
    <w:p w:rsidR="00FF6F79" w:rsidRDefault="00EF52F5">
      <w:r>
        <w:rPr>
          <w:noProof/>
        </w:rPr>
        <w:drawing>
          <wp:inline distT="0" distB="0" distL="0" distR="0" wp14:anchorId="7CE916BC" wp14:editId="151A2D6D">
            <wp:extent cx="6002448" cy="2743200"/>
            <wp:effectExtent l="0" t="0" r="1778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A52DA" w:rsidRDefault="00DA52DA" w:rsidP="00DA52DA">
      <w:pPr>
        <w:tabs>
          <w:tab w:val="left" w:pos="480"/>
        </w:tabs>
        <w:spacing w:line="360" w:lineRule="auto"/>
        <w:jc w:val="both"/>
        <w:rPr>
          <w:rFonts w:ascii="Times New Roman" w:hAnsi="Times New Roman" w:cs="Times New Roman"/>
          <w:sz w:val="24"/>
        </w:rPr>
      </w:pPr>
      <w:r>
        <w:rPr>
          <w:rFonts w:ascii="Times New Roman" w:hAnsi="Times New Roman" w:cs="Times New Roman"/>
          <w:sz w:val="24"/>
        </w:rPr>
        <w:lastRenderedPageBreak/>
        <w:t xml:space="preserve">From Table 2 above, </w:t>
      </w:r>
      <w:r w:rsidR="00ED06A3">
        <w:rPr>
          <w:rFonts w:ascii="Times New Roman" w:hAnsi="Times New Roman" w:cs="Times New Roman"/>
          <w:sz w:val="24"/>
        </w:rPr>
        <w:t>out of the</w:t>
      </w:r>
      <w:r>
        <w:rPr>
          <w:rFonts w:ascii="Times New Roman" w:hAnsi="Times New Roman" w:cs="Times New Roman"/>
          <w:sz w:val="24"/>
        </w:rPr>
        <w:t xml:space="preserve"> total</w:t>
      </w:r>
      <w:r w:rsidR="00ED06A3">
        <w:rPr>
          <w:rFonts w:ascii="Times New Roman" w:hAnsi="Times New Roman" w:cs="Times New Roman"/>
          <w:sz w:val="24"/>
        </w:rPr>
        <w:t xml:space="preserve"> number</w:t>
      </w:r>
      <w:r>
        <w:rPr>
          <w:rFonts w:ascii="Times New Roman" w:hAnsi="Times New Roman" w:cs="Times New Roman"/>
          <w:sz w:val="24"/>
        </w:rPr>
        <w:t xml:space="preserve"> of </w:t>
      </w:r>
      <w:r>
        <w:rPr>
          <w:rFonts w:ascii="Times New Roman" w:hAnsi="Times New Roman" w:cs="Times New Roman"/>
          <w:b/>
          <w:bCs/>
          <w:sz w:val="24"/>
        </w:rPr>
        <w:t>193 C</w:t>
      </w:r>
      <w:r w:rsidRPr="00F32E94">
        <w:rPr>
          <w:rFonts w:ascii="Times New Roman" w:hAnsi="Times New Roman" w:cs="Times New Roman"/>
          <w:b/>
          <w:bCs/>
          <w:sz w:val="24"/>
        </w:rPr>
        <w:t>rashes</w:t>
      </w:r>
      <w:r>
        <w:rPr>
          <w:rFonts w:ascii="Times New Roman" w:hAnsi="Times New Roman" w:cs="Times New Roman"/>
          <w:sz w:val="24"/>
        </w:rPr>
        <w:t xml:space="preserve"> reported from January to June 2022,</w:t>
      </w:r>
      <w:r w:rsidR="00ED06A3">
        <w:rPr>
          <w:rFonts w:ascii="Times New Roman" w:hAnsi="Times New Roman" w:cs="Times New Roman"/>
          <w:sz w:val="24"/>
        </w:rPr>
        <w:t xml:space="preserve">March recorded the highest amount with 41 cases followed by April with 37 cases and </w:t>
      </w:r>
      <w:proofErr w:type="spellStart"/>
      <w:r w:rsidR="00ED06A3">
        <w:rPr>
          <w:rFonts w:ascii="Times New Roman" w:hAnsi="Times New Roman" w:cs="Times New Roman"/>
          <w:sz w:val="24"/>
        </w:rPr>
        <w:t>june</w:t>
      </w:r>
      <w:proofErr w:type="spellEnd"/>
      <w:r w:rsidR="00ED06A3">
        <w:rPr>
          <w:rFonts w:ascii="Times New Roman" w:hAnsi="Times New Roman" w:cs="Times New Roman"/>
          <w:sz w:val="24"/>
        </w:rPr>
        <w:t xml:space="preserve"> with 33 cases. February recorded the least cases with 24 cases recorded</w:t>
      </w:r>
      <w:r>
        <w:rPr>
          <w:rFonts w:ascii="Times New Roman" w:hAnsi="Times New Roman" w:cs="Times New Roman"/>
          <w:sz w:val="24"/>
        </w:rPr>
        <w:t xml:space="preserve">. </w:t>
      </w:r>
    </w:p>
    <w:p w:rsidR="00ED06A3" w:rsidRDefault="00DA52DA" w:rsidP="00DA52DA">
      <w:pPr>
        <w:tabs>
          <w:tab w:val="left" w:pos="480"/>
        </w:tabs>
        <w:spacing w:line="360" w:lineRule="auto"/>
        <w:jc w:val="both"/>
        <w:rPr>
          <w:rFonts w:ascii="Times New Roman" w:hAnsi="Times New Roman" w:cs="Times New Roman"/>
          <w:sz w:val="24"/>
        </w:rPr>
      </w:pPr>
      <w:r>
        <w:rPr>
          <w:rFonts w:ascii="Times New Roman" w:hAnsi="Times New Roman" w:cs="Times New Roman"/>
          <w:sz w:val="24"/>
        </w:rPr>
        <w:t>A comparison with the data for January to June 2021 shows a general reduction</w:t>
      </w:r>
      <w:r w:rsidR="00ED06A3">
        <w:rPr>
          <w:rFonts w:ascii="Times New Roman" w:hAnsi="Times New Roman" w:cs="Times New Roman"/>
          <w:sz w:val="24"/>
        </w:rPr>
        <w:t xml:space="preserve"> crashes for all the months in 2022 except June. February recorded the highest reduction of cases with a 46% decrease in cases from 45 in 2021 to 24 in 2022. June was the only month to record an increase in crashes from 28 in 2021 to 33 in 2022.</w:t>
      </w:r>
    </w:p>
    <w:p w:rsidR="008D39FA" w:rsidRPr="00F457FE" w:rsidRDefault="008D39FA" w:rsidP="008D39FA">
      <w:pPr>
        <w:pStyle w:val="ListParagraph"/>
        <w:numPr>
          <w:ilvl w:val="0"/>
          <w:numId w:val="1"/>
        </w:numPr>
        <w:tabs>
          <w:tab w:val="left" w:pos="480"/>
        </w:tabs>
        <w:spacing w:line="360" w:lineRule="auto"/>
        <w:jc w:val="both"/>
        <w:rPr>
          <w:rFonts w:ascii="Times New Roman" w:hAnsi="Times New Roman" w:cs="Times New Roman"/>
          <w:b/>
          <w:sz w:val="24"/>
          <w:szCs w:val="24"/>
        </w:rPr>
      </w:pPr>
      <w:r w:rsidRPr="00F457FE">
        <w:rPr>
          <w:rFonts w:ascii="Times New Roman" w:hAnsi="Times New Roman" w:cs="Times New Roman"/>
          <w:b/>
          <w:sz w:val="24"/>
          <w:szCs w:val="24"/>
        </w:rPr>
        <w:t>Monthly Distribution of crashes.</w:t>
      </w:r>
    </w:p>
    <w:p w:rsidR="00DA52DA" w:rsidRPr="00F457FE" w:rsidRDefault="00927EC2">
      <w:pPr>
        <w:rPr>
          <w:rFonts w:ascii="Times New Roman" w:hAnsi="Times New Roman" w:cs="Times New Roman"/>
          <w:sz w:val="24"/>
          <w:szCs w:val="24"/>
        </w:rPr>
      </w:pPr>
      <w:r w:rsidRPr="00F457FE">
        <w:rPr>
          <w:rFonts w:ascii="Times New Roman" w:hAnsi="Times New Roman" w:cs="Times New Roman"/>
          <w:sz w:val="24"/>
          <w:szCs w:val="24"/>
        </w:rPr>
        <w:t>Table 3: Monthly Distribution of crashes for Jan to June 2021 and Jan to June 2022</w:t>
      </w:r>
    </w:p>
    <w:tbl>
      <w:tblPr>
        <w:tblW w:w="9269" w:type="dxa"/>
        <w:tblInd w:w="93" w:type="dxa"/>
        <w:tblLook w:val="04A0" w:firstRow="1" w:lastRow="0" w:firstColumn="1" w:lastColumn="0" w:noHBand="0" w:noVBand="1"/>
      </w:tblPr>
      <w:tblGrid>
        <w:gridCol w:w="2208"/>
        <w:gridCol w:w="1122"/>
        <w:gridCol w:w="1254"/>
        <w:gridCol w:w="1122"/>
        <w:gridCol w:w="1420"/>
        <w:gridCol w:w="2143"/>
      </w:tblGrid>
      <w:tr w:rsidR="00A761EF" w:rsidRPr="00F457FE" w:rsidTr="008D39FA">
        <w:trPr>
          <w:trHeight w:val="293"/>
        </w:trPr>
        <w:tc>
          <w:tcPr>
            <w:tcW w:w="926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1EF" w:rsidRPr="00F457FE" w:rsidRDefault="00A761EF" w:rsidP="00A761EF">
            <w:pPr>
              <w:spacing w:after="0" w:line="240" w:lineRule="auto"/>
              <w:jc w:val="center"/>
              <w:rPr>
                <w:rFonts w:ascii="Times New Roman" w:eastAsia="Times New Roman" w:hAnsi="Times New Roman" w:cs="Times New Roman"/>
                <w:b/>
                <w:bCs/>
                <w:color w:val="000000"/>
                <w:sz w:val="24"/>
                <w:szCs w:val="24"/>
              </w:rPr>
            </w:pPr>
            <w:r w:rsidRPr="00F457FE">
              <w:rPr>
                <w:rFonts w:ascii="Times New Roman" w:eastAsia="Times New Roman" w:hAnsi="Times New Roman" w:cs="Times New Roman"/>
                <w:b/>
                <w:bCs/>
                <w:color w:val="000000"/>
                <w:sz w:val="24"/>
                <w:szCs w:val="24"/>
              </w:rPr>
              <w:t>FATALITIES</w:t>
            </w:r>
          </w:p>
        </w:tc>
      </w:tr>
      <w:tr w:rsidR="00A761EF" w:rsidRPr="00F457FE" w:rsidTr="008D39FA">
        <w:trPr>
          <w:trHeight w:val="304"/>
        </w:trPr>
        <w:tc>
          <w:tcPr>
            <w:tcW w:w="2208" w:type="dxa"/>
            <w:tcBorders>
              <w:top w:val="nil"/>
              <w:left w:val="single" w:sz="4" w:space="0" w:color="auto"/>
              <w:bottom w:val="single" w:sz="4" w:space="0" w:color="auto"/>
              <w:right w:val="single" w:sz="4" w:space="0" w:color="auto"/>
            </w:tcBorders>
            <w:shd w:val="clear" w:color="auto" w:fill="auto"/>
            <w:noWrap/>
            <w:vAlign w:val="center"/>
            <w:hideMark/>
          </w:tcPr>
          <w:p w:rsidR="00A761EF" w:rsidRPr="00F457FE" w:rsidRDefault="00A761EF" w:rsidP="00A761EF">
            <w:pPr>
              <w:spacing w:after="0" w:line="240" w:lineRule="auto"/>
              <w:jc w:val="center"/>
              <w:rPr>
                <w:rFonts w:ascii="Times New Roman" w:eastAsia="Times New Roman" w:hAnsi="Times New Roman" w:cs="Times New Roman"/>
                <w:b/>
                <w:bCs/>
                <w:color w:val="000000"/>
                <w:sz w:val="24"/>
                <w:szCs w:val="24"/>
              </w:rPr>
            </w:pPr>
            <w:r w:rsidRPr="00F457FE">
              <w:rPr>
                <w:rFonts w:ascii="Times New Roman" w:eastAsia="Times New Roman" w:hAnsi="Times New Roman" w:cs="Times New Roman"/>
                <w:b/>
                <w:bCs/>
                <w:color w:val="000000"/>
                <w:sz w:val="24"/>
                <w:szCs w:val="24"/>
              </w:rPr>
              <w:t>REGION</w:t>
            </w:r>
          </w:p>
        </w:tc>
        <w:tc>
          <w:tcPr>
            <w:tcW w:w="1122" w:type="dxa"/>
            <w:tcBorders>
              <w:top w:val="nil"/>
              <w:left w:val="nil"/>
              <w:bottom w:val="single" w:sz="4" w:space="0" w:color="auto"/>
              <w:right w:val="single" w:sz="4" w:space="0" w:color="auto"/>
            </w:tcBorders>
            <w:shd w:val="clear" w:color="auto" w:fill="auto"/>
            <w:noWrap/>
            <w:vAlign w:val="bottom"/>
            <w:hideMark/>
          </w:tcPr>
          <w:p w:rsidR="00A761EF" w:rsidRPr="00F457FE" w:rsidRDefault="00A761EF" w:rsidP="00A761EF">
            <w:pPr>
              <w:spacing w:after="0" w:line="240" w:lineRule="auto"/>
              <w:jc w:val="center"/>
              <w:rPr>
                <w:rFonts w:ascii="Times New Roman" w:eastAsia="Times New Roman" w:hAnsi="Times New Roman" w:cs="Times New Roman"/>
                <w:b/>
                <w:bCs/>
                <w:color w:val="000000"/>
                <w:sz w:val="24"/>
                <w:szCs w:val="24"/>
              </w:rPr>
            </w:pPr>
            <w:r w:rsidRPr="00F457FE">
              <w:rPr>
                <w:rFonts w:ascii="Times New Roman" w:eastAsia="Times New Roman" w:hAnsi="Times New Roman" w:cs="Times New Roman"/>
                <w:b/>
                <w:bCs/>
                <w:color w:val="000000"/>
                <w:sz w:val="24"/>
                <w:szCs w:val="24"/>
              </w:rPr>
              <w:t>2022</w:t>
            </w:r>
          </w:p>
        </w:tc>
        <w:tc>
          <w:tcPr>
            <w:tcW w:w="1254" w:type="dxa"/>
            <w:tcBorders>
              <w:top w:val="nil"/>
              <w:left w:val="nil"/>
              <w:bottom w:val="single" w:sz="4" w:space="0" w:color="auto"/>
              <w:right w:val="single" w:sz="4" w:space="0" w:color="auto"/>
            </w:tcBorders>
            <w:shd w:val="clear" w:color="auto" w:fill="auto"/>
            <w:noWrap/>
            <w:vAlign w:val="bottom"/>
            <w:hideMark/>
          </w:tcPr>
          <w:p w:rsidR="00A761EF" w:rsidRPr="00F457FE" w:rsidRDefault="00A761EF" w:rsidP="00A761EF">
            <w:pPr>
              <w:spacing w:after="0" w:line="240" w:lineRule="auto"/>
              <w:jc w:val="center"/>
              <w:rPr>
                <w:rFonts w:ascii="Times New Roman" w:eastAsia="Times New Roman" w:hAnsi="Times New Roman" w:cs="Times New Roman"/>
                <w:b/>
                <w:bCs/>
                <w:color w:val="000000"/>
                <w:sz w:val="24"/>
                <w:szCs w:val="24"/>
              </w:rPr>
            </w:pPr>
            <w:r w:rsidRPr="00F457FE">
              <w:rPr>
                <w:rFonts w:ascii="Times New Roman" w:eastAsia="Times New Roman" w:hAnsi="Times New Roman" w:cs="Times New Roman"/>
                <w:b/>
                <w:bCs/>
                <w:color w:val="000000"/>
                <w:sz w:val="24"/>
                <w:szCs w:val="24"/>
              </w:rPr>
              <w:t>%</w:t>
            </w:r>
          </w:p>
        </w:tc>
        <w:tc>
          <w:tcPr>
            <w:tcW w:w="1122" w:type="dxa"/>
            <w:tcBorders>
              <w:top w:val="nil"/>
              <w:left w:val="nil"/>
              <w:bottom w:val="single" w:sz="4" w:space="0" w:color="auto"/>
              <w:right w:val="single" w:sz="4" w:space="0" w:color="auto"/>
            </w:tcBorders>
            <w:shd w:val="clear" w:color="auto" w:fill="auto"/>
            <w:noWrap/>
            <w:vAlign w:val="bottom"/>
            <w:hideMark/>
          </w:tcPr>
          <w:p w:rsidR="00A761EF" w:rsidRPr="00F457FE" w:rsidRDefault="00A761EF" w:rsidP="00A761EF">
            <w:pPr>
              <w:spacing w:after="0" w:line="240" w:lineRule="auto"/>
              <w:jc w:val="center"/>
              <w:rPr>
                <w:rFonts w:ascii="Times New Roman" w:eastAsia="Times New Roman" w:hAnsi="Times New Roman" w:cs="Times New Roman"/>
                <w:b/>
                <w:bCs/>
                <w:color w:val="000000"/>
                <w:sz w:val="24"/>
                <w:szCs w:val="24"/>
              </w:rPr>
            </w:pPr>
            <w:r w:rsidRPr="00F457FE">
              <w:rPr>
                <w:rFonts w:ascii="Times New Roman" w:eastAsia="Times New Roman" w:hAnsi="Times New Roman" w:cs="Times New Roman"/>
                <w:b/>
                <w:bCs/>
                <w:color w:val="000000"/>
                <w:sz w:val="24"/>
                <w:szCs w:val="24"/>
              </w:rPr>
              <w:t>2021</w:t>
            </w:r>
          </w:p>
        </w:tc>
        <w:tc>
          <w:tcPr>
            <w:tcW w:w="1420" w:type="dxa"/>
            <w:tcBorders>
              <w:top w:val="nil"/>
              <w:left w:val="nil"/>
              <w:bottom w:val="single" w:sz="4" w:space="0" w:color="auto"/>
              <w:right w:val="single" w:sz="4" w:space="0" w:color="auto"/>
            </w:tcBorders>
            <w:shd w:val="clear" w:color="auto" w:fill="auto"/>
            <w:noWrap/>
            <w:vAlign w:val="bottom"/>
            <w:hideMark/>
          </w:tcPr>
          <w:p w:rsidR="00A761EF" w:rsidRPr="00F457FE" w:rsidRDefault="00A761EF" w:rsidP="00A761EF">
            <w:pPr>
              <w:spacing w:after="0" w:line="240" w:lineRule="auto"/>
              <w:jc w:val="center"/>
              <w:rPr>
                <w:rFonts w:ascii="Times New Roman" w:eastAsia="Times New Roman" w:hAnsi="Times New Roman" w:cs="Times New Roman"/>
                <w:b/>
                <w:bCs/>
                <w:color w:val="000000"/>
                <w:sz w:val="24"/>
                <w:szCs w:val="24"/>
              </w:rPr>
            </w:pPr>
            <w:r w:rsidRPr="00F457FE">
              <w:rPr>
                <w:rFonts w:ascii="Times New Roman" w:eastAsia="Times New Roman" w:hAnsi="Times New Roman" w:cs="Times New Roman"/>
                <w:b/>
                <w:bCs/>
                <w:color w:val="000000"/>
                <w:sz w:val="24"/>
                <w:szCs w:val="24"/>
              </w:rPr>
              <w:t>%</w:t>
            </w:r>
          </w:p>
        </w:tc>
        <w:tc>
          <w:tcPr>
            <w:tcW w:w="2143" w:type="dxa"/>
            <w:tcBorders>
              <w:top w:val="nil"/>
              <w:left w:val="nil"/>
              <w:bottom w:val="single" w:sz="4" w:space="0" w:color="auto"/>
              <w:right w:val="single" w:sz="4" w:space="0" w:color="auto"/>
            </w:tcBorders>
            <w:shd w:val="clear" w:color="auto" w:fill="auto"/>
            <w:noWrap/>
            <w:vAlign w:val="bottom"/>
            <w:hideMark/>
          </w:tcPr>
          <w:p w:rsidR="00A761EF" w:rsidRPr="00F457FE" w:rsidRDefault="00A761EF" w:rsidP="00A761EF">
            <w:pPr>
              <w:spacing w:after="0" w:line="240" w:lineRule="auto"/>
              <w:jc w:val="center"/>
              <w:rPr>
                <w:rFonts w:ascii="Times New Roman" w:eastAsia="Times New Roman" w:hAnsi="Times New Roman" w:cs="Times New Roman"/>
                <w:b/>
                <w:bCs/>
                <w:color w:val="000000"/>
                <w:sz w:val="24"/>
                <w:szCs w:val="24"/>
              </w:rPr>
            </w:pPr>
            <w:r w:rsidRPr="00F457FE">
              <w:rPr>
                <w:rFonts w:ascii="Times New Roman" w:eastAsia="Times New Roman" w:hAnsi="Times New Roman" w:cs="Times New Roman"/>
                <w:b/>
                <w:bCs/>
                <w:color w:val="000000"/>
                <w:sz w:val="24"/>
                <w:szCs w:val="24"/>
              </w:rPr>
              <w:t>% change compared to 2021</w:t>
            </w:r>
          </w:p>
        </w:tc>
      </w:tr>
      <w:tr w:rsidR="00A761EF" w:rsidRPr="00F457FE" w:rsidTr="008D39FA">
        <w:trPr>
          <w:trHeight w:val="304"/>
        </w:trPr>
        <w:tc>
          <w:tcPr>
            <w:tcW w:w="2208" w:type="dxa"/>
            <w:tcBorders>
              <w:top w:val="nil"/>
              <w:left w:val="single" w:sz="4" w:space="0" w:color="auto"/>
              <w:bottom w:val="single" w:sz="4" w:space="0" w:color="auto"/>
              <w:right w:val="single" w:sz="4" w:space="0" w:color="auto"/>
            </w:tcBorders>
            <w:shd w:val="clear" w:color="auto" w:fill="auto"/>
            <w:noWrap/>
            <w:vAlign w:val="center"/>
            <w:hideMark/>
          </w:tcPr>
          <w:p w:rsidR="00A761EF" w:rsidRPr="00F457FE" w:rsidRDefault="00A761EF" w:rsidP="00A761EF">
            <w:pPr>
              <w:spacing w:after="0" w:line="240" w:lineRule="auto"/>
              <w:jc w:val="center"/>
              <w:rPr>
                <w:rFonts w:ascii="Times New Roman" w:eastAsia="Times New Roman" w:hAnsi="Times New Roman" w:cs="Times New Roman"/>
                <w:color w:val="000000"/>
                <w:sz w:val="24"/>
                <w:szCs w:val="24"/>
              </w:rPr>
            </w:pPr>
            <w:r w:rsidRPr="00F457FE">
              <w:rPr>
                <w:rFonts w:ascii="Times New Roman" w:eastAsia="Times New Roman" w:hAnsi="Times New Roman" w:cs="Times New Roman"/>
                <w:color w:val="000000"/>
                <w:sz w:val="24"/>
                <w:szCs w:val="24"/>
              </w:rPr>
              <w:t>January</w:t>
            </w:r>
          </w:p>
        </w:tc>
        <w:tc>
          <w:tcPr>
            <w:tcW w:w="1122" w:type="dxa"/>
            <w:tcBorders>
              <w:top w:val="nil"/>
              <w:left w:val="nil"/>
              <w:bottom w:val="single" w:sz="4" w:space="0" w:color="auto"/>
              <w:right w:val="single" w:sz="4" w:space="0" w:color="auto"/>
            </w:tcBorders>
            <w:shd w:val="clear" w:color="auto" w:fill="auto"/>
            <w:noWrap/>
            <w:vAlign w:val="bottom"/>
            <w:hideMark/>
          </w:tcPr>
          <w:p w:rsidR="00A761EF" w:rsidRPr="00F457FE" w:rsidRDefault="00A761EF" w:rsidP="00A761EF">
            <w:pPr>
              <w:spacing w:after="0" w:line="240" w:lineRule="auto"/>
              <w:jc w:val="center"/>
              <w:rPr>
                <w:rFonts w:ascii="Times New Roman" w:eastAsia="Times New Roman" w:hAnsi="Times New Roman" w:cs="Times New Roman"/>
                <w:color w:val="000000"/>
                <w:sz w:val="24"/>
                <w:szCs w:val="24"/>
              </w:rPr>
            </w:pPr>
            <w:r w:rsidRPr="00F457FE">
              <w:rPr>
                <w:rFonts w:ascii="Times New Roman" w:eastAsia="Times New Roman" w:hAnsi="Times New Roman" w:cs="Times New Roman"/>
                <w:color w:val="000000"/>
                <w:sz w:val="24"/>
                <w:szCs w:val="24"/>
              </w:rPr>
              <w:t>9</w:t>
            </w:r>
          </w:p>
        </w:tc>
        <w:tc>
          <w:tcPr>
            <w:tcW w:w="1254" w:type="dxa"/>
            <w:tcBorders>
              <w:top w:val="nil"/>
              <w:left w:val="nil"/>
              <w:bottom w:val="single" w:sz="4" w:space="0" w:color="auto"/>
              <w:right w:val="single" w:sz="4" w:space="0" w:color="auto"/>
            </w:tcBorders>
            <w:shd w:val="clear" w:color="auto" w:fill="auto"/>
            <w:noWrap/>
            <w:vAlign w:val="bottom"/>
            <w:hideMark/>
          </w:tcPr>
          <w:p w:rsidR="00A761EF" w:rsidRPr="00F457FE" w:rsidRDefault="00A761EF" w:rsidP="00A761EF">
            <w:pPr>
              <w:spacing w:after="0" w:line="240" w:lineRule="auto"/>
              <w:jc w:val="center"/>
              <w:rPr>
                <w:rFonts w:ascii="Times New Roman" w:eastAsia="Times New Roman" w:hAnsi="Times New Roman" w:cs="Times New Roman"/>
                <w:color w:val="000000"/>
                <w:sz w:val="24"/>
                <w:szCs w:val="24"/>
              </w:rPr>
            </w:pPr>
            <w:r w:rsidRPr="00F457FE">
              <w:rPr>
                <w:rFonts w:ascii="Times New Roman" w:eastAsia="Times New Roman" w:hAnsi="Times New Roman" w:cs="Times New Roman"/>
                <w:color w:val="000000"/>
                <w:sz w:val="24"/>
                <w:szCs w:val="24"/>
              </w:rPr>
              <w:t>18.75</w:t>
            </w:r>
          </w:p>
        </w:tc>
        <w:tc>
          <w:tcPr>
            <w:tcW w:w="1122" w:type="dxa"/>
            <w:tcBorders>
              <w:top w:val="nil"/>
              <w:left w:val="nil"/>
              <w:bottom w:val="single" w:sz="4" w:space="0" w:color="auto"/>
              <w:right w:val="single" w:sz="4" w:space="0" w:color="auto"/>
            </w:tcBorders>
            <w:shd w:val="clear" w:color="auto" w:fill="auto"/>
            <w:noWrap/>
            <w:vAlign w:val="bottom"/>
            <w:hideMark/>
          </w:tcPr>
          <w:p w:rsidR="00A761EF" w:rsidRPr="00F457FE" w:rsidRDefault="00A761EF" w:rsidP="00A761EF">
            <w:pPr>
              <w:spacing w:after="0" w:line="240" w:lineRule="auto"/>
              <w:jc w:val="center"/>
              <w:rPr>
                <w:rFonts w:ascii="Times New Roman" w:eastAsia="Times New Roman" w:hAnsi="Times New Roman" w:cs="Times New Roman"/>
                <w:color w:val="000000"/>
                <w:sz w:val="24"/>
                <w:szCs w:val="24"/>
              </w:rPr>
            </w:pPr>
            <w:r w:rsidRPr="00F457FE">
              <w:rPr>
                <w:rFonts w:ascii="Times New Roman" w:eastAsia="Times New Roman" w:hAnsi="Times New Roman" w:cs="Times New Roman"/>
                <w:color w:val="000000"/>
                <w:sz w:val="24"/>
                <w:szCs w:val="24"/>
              </w:rPr>
              <w:t>17</w:t>
            </w:r>
          </w:p>
        </w:tc>
        <w:tc>
          <w:tcPr>
            <w:tcW w:w="1420" w:type="dxa"/>
            <w:tcBorders>
              <w:top w:val="nil"/>
              <w:left w:val="nil"/>
              <w:bottom w:val="single" w:sz="4" w:space="0" w:color="auto"/>
              <w:right w:val="single" w:sz="4" w:space="0" w:color="auto"/>
            </w:tcBorders>
            <w:shd w:val="clear" w:color="auto" w:fill="auto"/>
            <w:noWrap/>
            <w:vAlign w:val="bottom"/>
            <w:hideMark/>
          </w:tcPr>
          <w:p w:rsidR="00A761EF" w:rsidRPr="00F457FE" w:rsidRDefault="00A761EF" w:rsidP="00A761EF">
            <w:pPr>
              <w:spacing w:after="0" w:line="240" w:lineRule="auto"/>
              <w:jc w:val="center"/>
              <w:rPr>
                <w:rFonts w:ascii="Times New Roman" w:eastAsia="Times New Roman" w:hAnsi="Times New Roman" w:cs="Times New Roman"/>
                <w:color w:val="000000"/>
                <w:sz w:val="24"/>
                <w:szCs w:val="24"/>
              </w:rPr>
            </w:pPr>
            <w:r w:rsidRPr="00F457FE">
              <w:rPr>
                <w:rFonts w:ascii="Times New Roman" w:eastAsia="Times New Roman" w:hAnsi="Times New Roman" w:cs="Times New Roman"/>
                <w:color w:val="000000"/>
                <w:sz w:val="24"/>
                <w:szCs w:val="24"/>
              </w:rPr>
              <w:t>26.6</w:t>
            </w:r>
          </w:p>
        </w:tc>
        <w:tc>
          <w:tcPr>
            <w:tcW w:w="2143" w:type="dxa"/>
            <w:tcBorders>
              <w:top w:val="nil"/>
              <w:left w:val="nil"/>
              <w:bottom w:val="single" w:sz="4" w:space="0" w:color="auto"/>
              <w:right w:val="single" w:sz="4" w:space="0" w:color="auto"/>
            </w:tcBorders>
            <w:shd w:val="clear" w:color="auto" w:fill="auto"/>
            <w:noWrap/>
            <w:vAlign w:val="bottom"/>
            <w:hideMark/>
          </w:tcPr>
          <w:p w:rsidR="00A761EF" w:rsidRPr="00F457FE" w:rsidRDefault="00A761EF" w:rsidP="00A761EF">
            <w:pPr>
              <w:spacing w:after="0" w:line="240" w:lineRule="auto"/>
              <w:jc w:val="center"/>
              <w:rPr>
                <w:rFonts w:ascii="Times New Roman" w:eastAsia="Times New Roman" w:hAnsi="Times New Roman" w:cs="Times New Roman"/>
                <w:color w:val="000000"/>
                <w:sz w:val="24"/>
                <w:szCs w:val="24"/>
              </w:rPr>
            </w:pPr>
            <w:r w:rsidRPr="00F457FE">
              <w:rPr>
                <w:rFonts w:ascii="Times New Roman" w:eastAsia="Times New Roman" w:hAnsi="Times New Roman" w:cs="Times New Roman"/>
                <w:color w:val="000000"/>
                <w:sz w:val="24"/>
                <w:szCs w:val="24"/>
              </w:rPr>
              <w:t>-47.06</w:t>
            </w:r>
          </w:p>
        </w:tc>
      </w:tr>
      <w:tr w:rsidR="00A761EF" w:rsidRPr="00F457FE" w:rsidTr="008D39FA">
        <w:trPr>
          <w:trHeight w:val="304"/>
        </w:trPr>
        <w:tc>
          <w:tcPr>
            <w:tcW w:w="2208" w:type="dxa"/>
            <w:tcBorders>
              <w:top w:val="nil"/>
              <w:left w:val="single" w:sz="4" w:space="0" w:color="auto"/>
              <w:bottom w:val="single" w:sz="4" w:space="0" w:color="auto"/>
              <w:right w:val="single" w:sz="4" w:space="0" w:color="auto"/>
            </w:tcBorders>
            <w:shd w:val="clear" w:color="auto" w:fill="auto"/>
            <w:noWrap/>
            <w:vAlign w:val="center"/>
            <w:hideMark/>
          </w:tcPr>
          <w:p w:rsidR="00A761EF" w:rsidRPr="00F457FE" w:rsidRDefault="00A761EF" w:rsidP="00A761EF">
            <w:pPr>
              <w:spacing w:after="0" w:line="240" w:lineRule="auto"/>
              <w:jc w:val="center"/>
              <w:rPr>
                <w:rFonts w:ascii="Times New Roman" w:eastAsia="Times New Roman" w:hAnsi="Times New Roman" w:cs="Times New Roman"/>
                <w:color w:val="000000"/>
                <w:sz w:val="24"/>
                <w:szCs w:val="24"/>
              </w:rPr>
            </w:pPr>
            <w:r w:rsidRPr="00F457FE">
              <w:rPr>
                <w:rFonts w:ascii="Times New Roman" w:eastAsia="Times New Roman" w:hAnsi="Times New Roman" w:cs="Times New Roman"/>
                <w:color w:val="000000"/>
                <w:sz w:val="24"/>
                <w:szCs w:val="24"/>
              </w:rPr>
              <w:t>February</w:t>
            </w:r>
          </w:p>
        </w:tc>
        <w:tc>
          <w:tcPr>
            <w:tcW w:w="1122" w:type="dxa"/>
            <w:tcBorders>
              <w:top w:val="nil"/>
              <w:left w:val="nil"/>
              <w:bottom w:val="single" w:sz="4" w:space="0" w:color="auto"/>
              <w:right w:val="single" w:sz="4" w:space="0" w:color="auto"/>
            </w:tcBorders>
            <w:shd w:val="clear" w:color="auto" w:fill="auto"/>
            <w:noWrap/>
            <w:vAlign w:val="bottom"/>
            <w:hideMark/>
          </w:tcPr>
          <w:p w:rsidR="00A761EF" w:rsidRPr="00F457FE" w:rsidRDefault="00A761EF" w:rsidP="00A761EF">
            <w:pPr>
              <w:spacing w:after="0" w:line="240" w:lineRule="auto"/>
              <w:jc w:val="center"/>
              <w:rPr>
                <w:rFonts w:ascii="Times New Roman" w:eastAsia="Times New Roman" w:hAnsi="Times New Roman" w:cs="Times New Roman"/>
                <w:color w:val="000000"/>
                <w:sz w:val="24"/>
                <w:szCs w:val="24"/>
              </w:rPr>
            </w:pPr>
            <w:r w:rsidRPr="00F457FE">
              <w:rPr>
                <w:rFonts w:ascii="Times New Roman" w:eastAsia="Times New Roman" w:hAnsi="Times New Roman" w:cs="Times New Roman"/>
                <w:color w:val="000000"/>
                <w:sz w:val="24"/>
                <w:szCs w:val="24"/>
              </w:rPr>
              <w:t>10</w:t>
            </w:r>
          </w:p>
        </w:tc>
        <w:tc>
          <w:tcPr>
            <w:tcW w:w="1254" w:type="dxa"/>
            <w:tcBorders>
              <w:top w:val="nil"/>
              <w:left w:val="nil"/>
              <w:bottom w:val="single" w:sz="4" w:space="0" w:color="auto"/>
              <w:right w:val="single" w:sz="4" w:space="0" w:color="auto"/>
            </w:tcBorders>
            <w:shd w:val="clear" w:color="auto" w:fill="auto"/>
            <w:noWrap/>
            <w:vAlign w:val="bottom"/>
            <w:hideMark/>
          </w:tcPr>
          <w:p w:rsidR="00A761EF" w:rsidRPr="00F457FE" w:rsidRDefault="00A761EF" w:rsidP="00A761EF">
            <w:pPr>
              <w:spacing w:after="0" w:line="240" w:lineRule="auto"/>
              <w:jc w:val="center"/>
              <w:rPr>
                <w:rFonts w:ascii="Times New Roman" w:eastAsia="Times New Roman" w:hAnsi="Times New Roman" w:cs="Times New Roman"/>
                <w:color w:val="000000"/>
                <w:sz w:val="24"/>
                <w:szCs w:val="24"/>
              </w:rPr>
            </w:pPr>
            <w:r w:rsidRPr="00F457FE">
              <w:rPr>
                <w:rFonts w:ascii="Times New Roman" w:eastAsia="Times New Roman" w:hAnsi="Times New Roman" w:cs="Times New Roman"/>
                <w:color w:val="000000"/>
                <w:sz w:val="24"/>
                <w:szCs w:val="24"/>
              </w:rPr>
              <w:t>20.83</w:t>
            </w:r>
          </w:p>
        </w:tc>
        <w:tc>
          <w:tcPr>
            <w:tcW w:w="1122" w:type="dxa"/>
            <w:tcBorders>
              <w:top w:val="nil"/>
              <w:left w:val="nil"/>
              <w:bottom w:val="single" w:sz="4" w:space="0" w:color="auto"/>
              <w:right w:val="single" w:sz="4" w:space="0" w:color="auto"/>
            </w:tcBorders>
            <w:shd w:val="clear" w:color="auto" w:fill="auto"/>
            <w:noWrap/>
            <w:vAlign w:val="bottom"/>
            <w:hideMark/>
          </w:tcPr>
          <w:p w:rsidR="00A761EF" w:rsidRPr="00F457FE" w:rsidRDefault="00A761EF" w:rsidP="00A761EF">
            <w:pPr>
              <w:spacing w:after="0" w:line="240" w:lineRule="auto"/>
              <w:jc w:val="center"/>
              <w:rPr>
                <w:rFonts w:ascii="Times New Roman" w:eastAsia="Times New Roman" w:hAnsi="Times New Roman" w:cs="Times New Roman"/>
                <w:color w:val="000000"/>
                <w:sz w:val="24"/>
                <w:szCs w:val="24"/>
              </w:rPr>
            </w:pPr>
            <w:r w:rsidRPr="00F457FE">
              <w:rPr>
                <w:rFonts w:ascii="Times New Roman" w:eastAsia="Times New Roman" w:hAnsi="Times New Roman" w:cs="Times New Roman"/>
                <w:color w:val="000000"/>
                <w:sz w:val="24"/>
                <w:szCs w:val="24"/>
              </w:rPr>
              <w:t>10</w:t>
            </w:r>
          </w:p>
        </w:tc>
        <w:tc>
          <w:tcPr>
            <w:tcW w:w="1420" w:type="dxa"/>
            <w:tcBorders>
              <w:top w:val="nil"/>
              <w:left w:val="nil"/>
              <w:bottom w:val="single" w:sz="4" w:space="0" w:color="auto"/>
              <w:right w:val="single" w:sz="4" w:space="0" w:color="auto"/>
            </w:tcBorders>
            <w:shd w:val="clear" w:color="auto" w:fill="auto"/>
            <w:noWrap/>
            <w:vAlign w:val="bottom"/>
            <w:hideMark/>
          </w:tcPr>
          <w:p w:rsidR="00A761EF" w:rsidRPr="00F457FE" w:rsidRDefault="00A761EF" w:rsidP="00A761EF">
            <w:pPr>
              <w:spacing w:after="0" w:line="240" w:lineRule="auto"/>
              <w:jc w:val="center"/>
              <w:rPr>
                <w:rFonts w:ascii="Times New Roman" w:eastAsia="Times New Roman" w:hAnsi="Times New Roman" w:cs="Times New Roman"/>
                <w:color w:val="000000"/>
                <w:sz w:val="24"/>
                <w:szCs w:val="24"/>
              </w:rPr>
            </w:pPr>
            <w:r w:rsidRPr="00F457FE">
              <w:rPr>
                <w:rFonts w:ascii="Times New Roman" w:eastAsia="Times New Roman" w:hAnsi="Times New Roman" w:cs="Times New Roman"/>
                <w:color w:val="000000"/>
                <w:sz w:val="24"/>
                <w:szCs w:val="24"/>
              </w:rPr>
              <w:t>15.6</w:t>
            </w:r>
          </w:p>
        </w:tc>
        <w:tc>
          <w:tcPr>
            <w:tcW w:w="2143" w:type="dxa"/>
            <w:tcBorders>
              <w:top w:val="nil"/>
              <w:left w:val="nil"/>
              <w:bottom w:val="single" w:sz="4" w:space="0" w:color="auto"/>
              <w:right w:val="single" w:sz="4" w:space="0" w:color="auto"/>
            </w:tcBorders>
            <w:shd w:val="clear" w:color="auto" w:fill="auto"/>
            <w:noWrap/>
            <w:vAlign w:val="bottom"/>
            <w:hideMark/>
          </w:tcPr>
          <w:p w:rsidR="00A761EF" w:rsidRPr="00F457FE" w:rsidRDefault="00A761EF" w:rsidP="00A761EF">
            <w:pPr>
              <w:spacing w:after="0" w:line="240" w:lineRule="auto"/>
              <w:jc w:val="center"/>
              <w:rPr>
                <w:rFonts w:ascii="Times New Roman" w:eastAsia="Times New Roman" w:hAnsi="Times New Roman" w:cs="Times New Roman"/>
                <w:color w:val="000000"/>
                <w:sz w:val="24"/>
                <w:szCs w:val="24"/>
              </w:rPr>
            </w:pPr>
            <w:r w:rsidRPr="00F457FE">
              <w:rPr>
                <w:rFonts w:ascii="Times New Roman" w:eastAsia="Times New Roman" w:hAnsi="Times New Roman" w:cs="Times New Roman"/>
                <w:color w:val="000000"/>
                <w:sz w:val="24"/>
                <w:szCs w:val="24"/>
              </w:rPr>
              <w:t>0.00</w:t>
            </w:r>
          </w:p>
        </w:tc>
      </w:tr>
      <w:tr w:rsidR="00A761EF" w:rsidRPr="00F457FE" w:rsidTr="008D39FA">
        <w:trPr>
          <w:trHeight w:val="304"/>
        </w:trPr>
        <w:tc>
          <w:tcPr>
            <w:tcW w:w="2208" w:type="dxa"/>
            <w:tcBorders>
              <w:top w:val="nil"/>
              <w:left w:val="single" w:sz="4" w:space="0" w:color="auto"/>
              <w:bottom w:val="single" w:sz="4" w:space="0" w:color="auto"/>
              <w:right w:val="single" w:sz="4" w:space="0" w:color="auto"/>
            </w:tcBorders>
            <w:shd w:val="clear" w:color="auto" w:fill="auto"/>
            <w:noWrap/>
            <w:vAlign w:val="center"/>
            <w:hideMark/>
          </w:tcPr>
          <w:p w:rsidR="00A761EF" w:rsidRPr="00F457FE" w:rsidRDefault="00A761EF" w:rsidP="00A761EF">
            <w:pPr>
              <w:spacing w:after="0" w:line="240" w:lineRule="auto"/>
              <w:jc w:val="center"/>
              <w:rPr>
                <w:rFonts w:ascii="Times New Roman" w:eastAsia="Times New Roman" w:hAnsi="Times New Roman" w:cs="Times New Roman"/>
                <w:color w:val="000000"/>
                <w:sz w:val="24"/>
                <w:szCs w:val="24"/>
              </w:rPr>
            </w:pPr>
            <w:r w:rsidRPr="00F457FE">
              <w:rPr>
                <w:rFonts w:ascii="Times New Roman" w:eastAsia="Times New Roman" w:hAnsi="Times New Roman" w:cs="Times New Roman"/>
                <w:color w:val="000000"/>
                <w:sz w:val="24"/>
                <w:szCs w:val="24"/>
              </w:rPr>
              <w:t>March</w:t>
            </w:r>
          </w:p>
        </w:tc>
        <w:tc>
          <w:tcPr>
            <w:tcW w:w="1122" w:type="dxa"/>
            <w:tcBorders>
              <w:top w:val="nil"/>
              <w:left w:val="nil"/>
              <w:bottom w:val="single" w:sz="4" w:space="0" w:color="auto"/>
              <w:right w:val="single" w:sz="4" w:space="0" w:color="auto"/>
            </w:tcBorders>
            <w:shd w:val="clear" w:color="auto" w:fill="auto"/>
            <w:noWrap/>
            <w:vAlign w:val="bottom"/>
            <w:hideMark/>
          </w:tcPr>
          <w:p w:rsidR="00A761EF" w:rsidRPr="00F457FE" w:rsidRDefault="00A761EF" w:rsidP="00A761EF">
            <w:pPr>
              <w:spacing w:after="0" w:line="240" w:lineRule="auto"/>
              <w:jc w:val="center"/>
              <w:rPr>
                <w:rFonts w:ascii="Times New Roman" w:eastAsia="Times New Roman" w:hAnsi="Times New Roman" w:cs="Times New Roman"/>
                <w:color w:val="000000"/>
                <w:sz w:val="24"/>
                <w:szCs w:val="24"/>
              </w:rPr>
            </w:pPr>
            <w:r w:rsidRPr="00F457FE">
              <w:rPr>
                <w:rFonts w:ascii="Times New Roman" w:eastAsia="Times New Roman" w:hAnsi="Times New Roman" w:cs="Times New Roman"/>
                <w:color w:val="000000"/>
                <w:sz w:val="24"/>
                <w:szCs w:val="24"/>
              </w:rPr>
              <w:t>16</w:t>
            </w:r>
          </w:p>
        </w:tc>
        <w:tc>
          <w:tcPr>
            <w:tcW w:w="1254" w:type="dxa"/>
            <w:tcBorders>
              <w:top w:val="nil"/>
              <w:left w:val="nil"/>
              <w:bottom w:val="single" w:sz="4" w:space="0" w:color="auto"/>
              <w:right w:val="single" w:sz="4" w:space="0" w:color="auto"/>
            </w:tcBorders>
            <w:shd w:val="clear" w:color="auto" w:fill="auto"/>
            <w:noWrap/>
            <w:vAlign w:val="bottom"/>
            <w:hideMark/>
          </w:tcPr>
          <w:p w:rsidR="00A761EF" w:rsidRPr="00F457FE" w:rsidRDefault="00A761EF" w:rsidP="00A761EF">
            <w:pPr>
              <w:spacing w:after="0" w:line="240" w:lineRule="auto"/>
              <w:jc w:val="center"/>
              <w:rPr>
                <w:rFonts w:ascii="Times New Roman" w:eastAsia="Times New Roman" w:hAnsi="Times New Roman" w:cs="Times New Roman"/>
                <w:color w:val="000000"/>
                <w:sz w:val="24"/>
                <w:szCs w:val="24"/>
              </w:rPr>
            </w:pPr>
            <w:r w:rsidRPr="00F457FE">
              <w:rPr>
                <w:rFonts w:ascii="Times New Roman" w:eastAsia="Times New Roman" w:hAnsi="Times New Roman" w:cs="Times New Roman"/>
                <w:color w:val="000000"/>
                <w:sz w:val="24"/>
                <w:szCs w:val="24"/>
              </w:rPr>
              <w:t>33.33</w:t>
            </w:r>
          </w:p>
        </w:tc>
        <w:tc>
          <w:tcPr>
            <w:tcW w:w="1122" w:type="dxa"/>
            <w:tcBorders>
              <w:top w:val="nil"/>
              <w:left w:val="nil"/>
              <w:bottom w:val="single" w:sz="4" w:space="0" w:color="auto"/>
              <w:right w:val="single" w:sz="4" w:space="0" w:color="auto"/>
            </w:tcBorders>
            <w:shd w:val="clear" w:color="auto" w:fill="auto"/>
            <w:noWrap/>
            <w:vAlign w:val="bottom"/>
            <w:hideMark/>
          </w:tcPr>
          <w:p w:rsidR="00A761EF" w:rsidRPr="00F457FE" w:rsidRDefault="00A761EF" w:rsidP="00A761EF">
            <w:pPr>
              <w:spacing w:after="0" w:line="240" w:lineRule="auto"/>
              <w:jc w:val="center"/>
              <w:rPr>
                <w:rFonts w:ascii="Times New Roman" w:eastAsia="Times New Roman" w:hAnsi="Times New Roman" w:cs="Times New Roman"/>
                <w:color w:val="000000"/>
                <w:sz w:val="24"/>
                <w:szCs w:val="24"/>
              </w:rPr>
            </w:pPr>
            <w:r w:rsidRPr="00F457FE">
              <w:rPr>
                <w:rFonts w:ascii="Times New Roman" w:eastAsia="Times New Roman" w:hAnsi="Times New Roman" w:cs="Times New Roman"/>
                <w:color w:val="000000"/>
                <w:sz w:val="24"/>
                <w:szCs w:val="24"/>
              </w:rPr>
              <w:t>13</w:t>
            </w:r>
          </w:p>
        </w:tc>
        <w:tc>
          <w:tcPr>
            <w:tcW w:w="1420" w:type="dxa"/>
            <w:tcBorders>
              <w:top w:val="nil"/>
              <w:left w:val="nil"/>
              <w:bottom w:val="single" w:sz="4" w:space="0" w:color="auto"/>
              <w:right w:val="single" w:sz="4" w:space="0" w:color="auto"/>
            </w:tcBorders>
            <w:shd w:val="clear" w:color="auto" w:fill="auto"/>
            <w:noWrap/>
            <w:vAlign w:val="bottom"/>
            <w:hideMark/>
          </w:tcPr>
          <w:p w:rsidR="00A761EF" w:rsidRPr="00F457FE" w:rsidRDefault="00A761EF" w:rsidP="00A761EF">
            <w:pPr>
              <w:spacing w:after="0" w:line="240" w:lineRule="auto"/>
              <w:jc w:val="center"/>
              <w:rPr>
                <w:rFonts w:ascii="Times New Roman" w:eastAsia="Times New Roman" w:hAnsi="Times New Roman" w:cs="Times New Roman"/>
                <w:color w:val="000000"/>
                <w:sz w:val="24"/>
                <w:szCs w:val="24"/>
              </w:rPr>
            </w:pPr>
            <w:r w:rsidRPr="00F457FE">
              <w:rPr>
                <w:rFonts w:ascii="Times New Roman" w:eastAsia="Times New Roman" w:hAnsi="Times New Roman" w:cs="Times New Roman"/>
                <w:color w:val="000000"/>
                <w:sz w:val="24"/>
                <w:szCs w:val="24"/>
              </w:rPr>
              <w:t>20.3</w:t>
            </w:r>
          </w:p>
        </w:tc>
        <w:tc>
          <w:tcPr>
            <w:tcW w:w="2143" w:type="dxa"/>
            <w:tcBorders>
              <w:top w:val="nil"/>
              <w:left w:val="nil"/>
              <w:bottom w:val="single" w:sz="4" w:space="0" w:color="auto"/>
              <w:right w:val="single" w:sz="4" w:space="0" w:color="auto"/>
            </w:tcBorders>
            <w:shd w:val="clear" w:color="auto" w:fill="auto"/>
            <w:noWrap/>
            <w:vAlign w:val="bottom"/>
            <w:hideMark/>
          </w:tcPr>
          <w:p w:rsidR="00A761EF" w:rsidRPr="00F457FE" w:rsidRDefault="00A761EF" w:rsidP="00A761EF">
            <w:pPr>
              <w:spacing w:after="0" w:line="240" w:lineRule="auto"/>
              <w:jc w:val="center"/>
              <w:rPr>
                <w:rFonts w:ascii="Times New Roman" w:eastAsia="Times New Roman" w:hAnsi="Times New Roman" w:cs="Times New Roman"/>
                <w:color w:val="000000"/>
                <w:sz w:val="24"/>
                <w:szCs w:val="24"/>
              </w:rPr>
            </w:pPr>
            <w:r w:rsidRPr="00F457FE">
              <w:rPr>
                <w:rFonts w:ascii="Times New Roman" w:eastAsia="Times New Roman" w:hAnsi="Times New Roman" w:cs="Times New Roman"/>
                <w:color w:val="000000"/>
                <w:sz w:val="24"/>
                <w:szCs w:val="24"/>
              </w:rPr>
              <w:t>23.08</w:t>
            </w:r>
          </w:p>
        </w:tc>
      </w:tr>
      <w:tr w:rsidR="00A761EF" w:rsidRPr="00F457FE" w:rsidTr="008D39FA">
        <w:trPr>
          <w:trHeight w:val="304"/>
        </w:trPr>
        <w:tc>
          <w:tcPr>
            <w:tcW w:w="2208" w:type="dxa"/>
            <w:tcBorders>
              <w:top w:val="nil"/>
              <w:left w:val="single" w:sz="4" w:space="0" w:color="auto"/>
              <w:bottom w:val="single" w:sz="4" w:space="0" w:color="auto"/>
              <w:right w:val="single" w:sz="4" w:space="0" w:color="auto"/>
            </w:tcBorders>
            <w:shd w:val="clear" w:color="auto" w:fill="auto"/>
            <w:noWrap/>
            <w:vAlign w:val="center"/>
            <w:hideMark/>
          </w:tcPr>
          <w:p w:rsidR="00A761EF" w:rsidRPr="00F457FE" w:rsidRDefault="00A761EF" w:rsidP="00A761EF">
            <w:pPr>
              <w:spacing w:after="0" w:line="240" w:lineRule="auto"/>
              <w:jc w:val="center"/>
              <w:rPr>
                <w:rFonts w:ascii="Times New Roman" w:eastAsia="Times New Roman" w:hAnsi="Times New Roman" w:cs="Times New Roman"/>
                <w:color w:val="000000"/>
                <w:sz w:val="24"/>
                <w:szCs w:val="24"/>
              </w:rPr>
            </w:pPr>
            <w:r w:rsidRPr="00F457FE">
              <w:rPr>
                <w:rFonts w:ascii="Times New Roman" w:eastAsia="Times New Roman" w:hAnsi="Times New Roman" w:cs="Times New Roman"/>
                <w:color w:val="000000"/>
                <w:sz w:val="24"/>
                <w:szCs w:val="24"/>
              </w:rPr>
              <w:t>April</w:t>
            </w:r>
          </w:p>
        </w:tc>
        <w:tc>
          <w:tcPr>
            <w:tcW w:w="1122" w:type="dxa"/>
            <w:tcBorders>
              <w:top w:val="nil"/>
              <w:left w:val="nil"/>
              <w:bottom w:val="single" w:sz="4" w:space="0" w:color="auto"/>
              <w:right w:val="single" w:sz="4" w:space="0" w:color="auto"/>
            </w:tcBorders>
            <w:shd w:val="clear" w:color="auto" w:fill="auto"/>
            <w:noWrap/>
            <w:vAlign w:val="bottom"/>
            <w:hideMark/>
          </w:tcPr>
          <w:p w:rsidR="00A761EF" w:rsidRPr="00F457FE" w:rsidRDefault="00A761EF" w:rsidP="00A761EF">
            <w:pPr>
              <w:spacing w:after="0" w:line="240" w:lineRule="auto"/>
              <w:jc w:val="center"/>
              <w:rPr>
                <w:rFonts w:ascii="Times New Roman" w:eastAsia="Times New Roman" w:hAnsi="Times New Roman" w:cs="Times New Roman"/>
                <w:color w:val="000000"/>
                <w:sz w:val="24"/>
                <w:szCs w:val="24"/>
              </w:rPr>
            </w:pPr>
            <w:r w:rsidRPr="00F457FE">
              <w:rPr>
                <w:rFonts w:ascii="Times New Roman" w:eastAsia="Times New Roman" w:hAnsi="Times New Roman" w:cs="Times New Roman"/>
                <w:color w:val="000000"/>
                <w:sz w:val="24"/>
                <w:szCs w:val="24"/>
              </w:rPr>
              <w:t>6</w:t>
            </w:r>
          </w:p>
        </w:tc>
        <w:tc>
          <w:tcPr>
            <w:tcW w:w="1254" w:type="dxa"/>
            <w:tcBorders>
              <w:top w:val="nil"/>
              <w:left w:val="nil"/>
              <w:bottom w:val="single" w:sz="4" w:space="0" w:color="auto"/>
              <w:right w:val="single" w:sz="4" w:space="0" w:color="auto"/>
            </w:tcBorders>
            <w:shd w:val="clear" w:color="auto" w:fill="auto"/>
            <w:noWrap/>
            <w:vAlign w:val="bottom"/>
            <w:hideMark/>
          </w:tcPr>
          <w:p w:rsidR="00A761EF" w:rsidRPr="00F457FE" w:rsidRDefault="00A761EF" w:rsidP="00A761EF">
            <w:pPr>
              <w:spacing w:after="0" w:line="240" w:lineRule="auto"/>
              <w:jc w:val="center"/>
              <w:rPr>
                <w:rFonts w:ascii="Times New Roman" w:eastAsia="Times New Roman" w:hAnsi="Times New Roman" w:cs="Times New Roman"/>
                <w:color w:val="000000"/>
                <w:sz w:val="24"/>
                <w:szCs w:val="24"/>
              </w:rPr>
            </w:pPr>
            <w:r w:rsidRPr="00F457FE">
              <w:rPr>
                <w:rFonts w:ascii="Times New Roman" w:eastAsia="Times New Roman" w:hAnsi="Times New Roman" w:cs="Times New Roman"/>
                <w:color w:val="000000"/>
                <w:sz w:val="24"/>
                <w:szCs w:val="24"/>
              </w:rPr>
              <w:t>12.50</w:t>
            </w:r>
          </w:p>
        </w:tc>
        <w:tc>
          <w:tcPr>
            <w:tcW w:w="1122" w:type="dxa"/>
            <w:tcBorders>
              <w:top w:val="nil"/>
              <w:left w:val="nil"/>
              <w:bottom w:val="single" w:sz="4" w:space="0" w:color="auto"/>
              <w:right w:val="single" w:sz="4" w:space="0" w:color="auto"/>
            </w:tcBorders>
            <w:shd w:val="clear" w:color="auto" w:fill="auto"/>
            <w:noWrap/>
            <w:vAlign w:val="bottom"/>
            <w:hideMark/>
          </w:tcPr>
          <w:p w:rsidR="00A761EF" w:rsidRPr="00F457FE" w:rsidRDefault="00A761EF" w:rsidP="00A761EF">
            <w:pPr>
              <w:spacing w:after="0" w:line="240" w:lineRule="auto"/>
              <w:jc w:val="center"/>
              <w:rPr>
                <w:rFonts w:ascii="Times New Roman" w:eastAsia="Times New Roman" w:hAnsi="Times New Roman" w:cs="Times New Roman"/>
                <w:color w:val="000000"/>
                <w:sz w:val="24"/>
                <w:szCs w:val="24"/>
              </w:rPr>
            </w:pPr>
            <w:r w:rsidRPr="00F457FE">
              <w:rPr>
                <w:rFonts w:ascii="Times New Roman" w:eastAsia="Times New Roman" w:hAnsi="Times New Roman" w:cs="Times New Roman"/>
                <w:color w:val="000000"/>
                <w:sz w:val="24"/>
                <w:szCs w:val="24"/>
              </w:rPr>
              <w:t>13</w:t>
            </w:r>
          </w:p>
        </w:tc>
        <w:tc>
          <w:tcPr>
            <w:tcW w:w="1420" w:type="dxa"/>
            <w:tcBorders>
              <w:top w:val="nil"/>
              <w:left w:val="nil"/>
              <w:bottom w:val="single" w:sz="4" w:space="0" w:color="auto"/>
              <w:right w:val="single" w:sz="4" w:space="0" w:color="auto"/>
            </w:tcBorders>
            <w:shd w:val="clear" w:color="auto" w:fill="auto"/>
            <w:noWrap/>
            <w:vAlign w:val="bottom"/>
            <w:hideMark/>
          </w:tcPr>
          <w:p w:rsidR="00A761EF" w:rsidRPr="00F457FE" w:rsidRDefault="00A761EF" w:rsidP="00A761EF">
            <w:pPr>
              <w:spacing w:after="0" w:line="240" w:lineRule="auto"/>
              <w:jc w:val="center"/>
              <w:rPr>
                <w:rFonts w:ascii="Times New Roman" w:eastAsia="Times New Roman" w:hAnsi="Times New Roman" w:cs="Times New Roman"/>
                <w:color w:val="000000"/>
                <w:sz w:val="24"/>
                <w:szCs w:val="24"/>
              </w:rPr>
            </w:pPr>
            <w:r w:rsidRPr="00F457FE">
              <w:rPr>
                <w:rFonts w:ascii="Times New Roman" w:eastAsia="Times New Roman" w:hAnsi="Times New Roman" w:cs="Times New Roman"/>
                <w:color w:val="000000"/>
                <w:sz w:val="24"/>
                <w:szCs w:val="24"/>
              </w:rPr>
              <w:t>20.3</w:t>
            </w:r>
          </w:p>
        </w:tc>
        <w:tc>
          <w:tcPr>
            <w:tcW w:w="2143" w:type="dxa"/>
            <w:tcBorders>
              <w:top w:val="nil"/>
              <w:left w:val="nil"/>
              <w:bottom w:val="single" w:sz="4" w:space="0" w:color="auto"/>
              <w:right w:val="single" w:sz="4" w:space="0" w:color="auto"/>
            </w:tcBorders>
            <w:shd w:val="clear" w:color="auto" w:fill="auto"/>
            <w:noWrap/>
            <w:vAlign w:val="bottom"/>
            <w:hideMark/>
          </w:tcPr>
          <w:p w:rsidR="00A761EF" w:rsidRPr="00F457FE" w:rsidRDefault="00A761EF" w:rsidP="00A761EF">
            <w:pPr>
              <w:spacing w:after="0" w:line="240" w:lineRule="auto"/>
              <w:jc w:val="center"/>
              <w:rPr>
                <w:rFonts w:ascii="Times New Roman" w:eastAsia="Times New Roman" w:hAnsi="Times New Roman" w:cs="Times New Roman"/>
                <w:color w:val="000000"/>
                <w:sz w:val="24"/>
                <w:szCs w:val="24"/>
              </w:rPr>
            </w:pPr>
            <w:r w:rsidRPr="00F457FE">
              <w:rPr>
                <w:rFonts w:ascii="Times New Roman" w:eastAsia="Times New Roman" w:hAnsi="Times New Roman" w:cs="Times New Roman"/>
                <w:color w:val="000000"/>
                <w:sz w:val="24"/>
                <w:szCs w:val="24"/>
              </w:rPr>
              <w:t>-53.85</w:t>
            </w:r>
          </w:p>
        </w:tc>
      </w:tr>
      <w:tr w:rsidR="00A761EF" w:rsidRPr="00F457FE" w:rsidTr="008D39FA">
        <w:trPr>
          <w:trHeight w:val="304"/>
        </w:trPr>
        <w:tc>
          <w:tcPr>
            <w:tcW w:w="2208" w:type="dxa"/>
            <w:tcBorders>
              <w:top w:val="nil"/>
              <w:left w:val="single" w:sz="4" w:space="0" w:color="auto"/>
              <w:bottom w:val="single" w:sz="4" w:space="0" w:color="auto"/>
              <w:right w:val="single" w:sz="4" w:space="0" w:color="auto"/>
            </w:tcBorders>
            <w:shd w:val="clear" w:color="auto" w:fill="auto"/>
            <w:noWrap/>
            <w:vAlign w:val="center"/>
            <w:hideMark/>
          </w:tcPr>
          <w:p w:rsidR="00A761EF" w:rsidRPr="00F457FE" w:rsidRDefault="00A761EF" w:rsidP="00A761EF">
            <w:pPr>
              <w:spacing w:after="0" w:line="240" w:lineRule="auto"/>
              <w:jc w:val="center"/>
              <w:rPr>
                <w:rFonts w:ascii="Times New Roman" w:eastAsia="Times New Roman" w:hAnsi="Times New Roman" w:cs="Times New Roman"/>
                <w:color w:val="000000"/>
                <w:sz w:val="24"/>
                <w:szCs w:val="24"/>
              </w:rPr>
            </w:pPr>
            <w:r w:rsidRPr="00F457FE">
              <w:rPr>
                <w:rFonts w:ascii="Times New Roman" w:eastAsia="Times New Roman" w:hAnsi="Times New Roman" w:cs="Times New Roman"/>
                <w:color w:val="000000"/>
                <w:sz w:val="24"/>
                <w:szCs w:val="24"/>
              </w:rPr>
              <w:t>May</w:t>
            </w:r>
          </w:p>
        </w:tc>
        <w:tc>
          <w:tcPr>
            <w:tcW w:w="1122" w:type="dxa"/>
            <w:tcBorders>
              <w:top w:val="nil"/>
              <w:left w:val="nil"/>
              <w:bottom w:val="single" w:sz="4" w:space="0" w:color="auto"/>
              <w:right w:val="single" w:sz="4" w:space="0" w:color="auto"/>
            </w:tcBorders>
            <w:shd w:val="clear" w:color="auto" w:fill="auto"/>
            <w:noWrap/>
            <w:vAlign w:val="bottom"/>
            <w:hideMark/>
          </w:tcPr>
          <w:p w:rsidR="00A761EF" w:rsidRPr="00F457FE" w:rsidRDefault="00A761EF" w:rsidP="00A761EF">
            <w:pPr>
              <w:spacing w:after="0" w:line="240" w:lineRule="auto"/>
              <w:jc w:val="center"/>
              <w:rPr>
                <w:rFonts w:ascii="Times New Roman" w:eastAsia="Times New Roman" w:hAnsi="Times New Roman" w:cs="Times New Roman"/>
                <w:color w:val="000000"/>
                <w:sz w:val="24"/>
                <w:szCs w:val="24"/>
              </w:rPr>
            </w:pPr>
            <w:r w:rsidRPr="00F457FE">
              <w:rPr>
                <w:rFonts w:ascii="Times New Roman" w:eastAsia="Times New Roman" w:hAnsi="Times New Roman" w:cs="Times New Roman"/>
                <w:color w:val="000000"/>
                <w:sz w:val="24"/>
                <w:szCs w:val="24"/>
              </w:rPr>
              <w:t>3</w:t>
            </w:r>
          </w:p>
        </w:tc>
        <w:tc>
          <w:tcPr>
            <w:tcW w:w="1254" w:type="dxa"/>
            <w:tcBorders>
              <w:top w:val="nil"/>
              <w:left w:val="nil"/>
              <w:bottom w:val="single" w:sz="4" w:space="0" w:color="auto"/>
              <w:right w:val="single" w:sz="4" w:space="0" w:color="auto"/>
            </w:tcBorders>
            <w:shd w:val="clear" w:color="auto" w:fill="auto"/>
            <w:noWrap/>
            <w:vAlign w:val="bottom"/>
            <w:hideMark/>
          </w:tcPr>
          <w:p w:rsidR="00A761EF" w:rsidRPr="00F457FE" w:rsidRDefault="00A761EF" w:rsidP="00A761EF">
            <w:pPr>
              <w:spacing w:after="0" w:line="240" w:lineRule="auto"/>
              <w:jc w:val="center"/>
              <w:rPr>
                <w:rFonts w:ascii="Times New Roman" w:eastAsia="Times New Roman" w:hAnsi="Times New Roman" w:cs="Times New Roman"/>
                <w:color w:val="000000"/>
                <w:sz w:val="24"/>
                <w:szCs w:val="24"/>
              </w:rPr>
            </w:pPr>
            <w:r w:rsidRPr="00F457FE">
              <w:rPr>
                <w:rFonts w:ascii="Times New Roman" w:eastAsia="Times New Roman" w:hAnsi="Times New Roman" w:cs="Times New Roman"/>
                <w:color w:val="000000"/>
                <w:sz w:val="24"/>
                <w:szCs w:val="24"/>
              </w:rPr>
              <w:t>6.25</w:t>
            </w:r>
          </w:p>
        </w:tc>
        <w:tc>
          <w:tcPr>
            <w:tcW w:w="1122" w:type="dxa"/>
            <w:tcBorders>
              <w:top w:val="nil"/>
              <w:left w:val="nil"/>
              <w:bottom w:val="single" w:sz="4" w:space="0" w:color="auto"/>
              <w:right w:val="single" w:sz="4" w:space="0" w:color="auto"/>
            </w:tcBorders>
            <w:shd w:val="clear" w:color="auto" w:fill="auto"/>
            <w:noWrap/>
            <w:vAlign w:val="bottom"/>
            <w:hideMark/>
          </w:tcPr>
          <w:p w:rsidR="00A761EF" w:rsidRPr="00F457FE" w:rsidRDefault="00A761EF" w:rsidP="00A761EF">
            <w:pPr>
              <w:spacing w:after="0" w:line="240" w:lineRule="auto"/>
              <w:jc w:val="center"/>
              <w:rPr>
                <w:rFonts w:ascii="Times New Roman" w:eastAsia="Times New Roman" w:hAnsi="Times New Roman" w:cs="Times New Roman"/>
                <w:color w:val="000000"/>
                <w:sz w:val="24"/>
                <w:szCs w:val="24"/>
              </w:rPr>
            </w:pPr>
            <w:r w:rsidRPr="00F457FE">
              <w:rPr>
                <w:rFonts w:ascii="Times New Roman" w:eastAsia="Times New Roman" w:hAnsi="Times New Roman" w:cs="Times New Roman"/>
                <w:color w:val="000000"/>
                <w:sz w:val="24"/>
                <w:szCs w:val="24"/>
              </w:rPr>
              <w:t>7</w:t>
            </w:r>
          </w:p>
        </w:tc>
        <w:tc>
          <w:tcPr>
            <w:tcW w:w="1420" w:type="dxa"/>
            <w:tcBorders>
              <w:top w:val="nil"/>
              <w:left w:val="nil"/>
              <w:bottom w:val="single" w:sz="4" w:space="0" w:color="auto"/>
              <w:right w:val="single" w:sz="4" w:space="0" w:color="auto"/>
            </w:tcBorders>
            <w:shd w:val="clear" w:color="auto" w:fill="auto"/>
            <w:noWrap/>
            <w:vAlign w:val="bottom"/>
            <w:hideMark/>
          </w:tcPr>
          <w:p w:rsidR="00A761EF" w:rsidRPr="00F457FE" w:rsidRDefault="00A761EF" w:rsidP="00A761EF">
            <w:pPr>
              <w:spacing w:after="0" w:line="240" w:lineRule="auto"/>
              <w:jc w:val="center"/>
              <w:rPr>
                <w:rFonts w:ascii="Times New Roman" w:eastAsia="Times New Roman" w:hAnsi="Times New Roman" w:cs="Times New Roman"/>
                <w:color w:val="000000"/>
                <w:sz w:val="24"/>
                <w:szCs w:val="24"/>
              </w:rPr>
            </w:pPr>
            <w:r w:rsidRPr="00F457FE">
              <w:rPr>
                <w:rFonts w:ascii="Times New Roman" w:eastAsia="Times New Roman" w:hAnsi="Times New Roman" w:cs="Times New Roman"/>
                <w:color w:val="000000"/>
                <w:sz w:val="24"/>
                <w:szCs w:val="24"/>
              </w:rPr>
              <w:t>10.9</w:t>
            </w:r>
          </w:p>
        </w:tc>
        <w:tc>
          <w:tcPr>
            <w:tcW w:w="2143" w:type="dxa"/>
            <w:tcBorders>
              <w:top w:val="nil"/>
              <w:left w:val="nil"/>
              <w:bottom w:val="single" w:sz="4" w:space="0" w:color="auto"/>
              <w:right w:val="single" w:sz="4" w:space="0" w:color="auto"/>
            </w:tcBorders>
            <w:shd w:val="clear" w:color="auto" w:fill="auto"/>
            <w:noWrap/>
            <w:vAlign w:val="bottom"/>
            <w:hideMark/>
          </w:tcPr>
          <w:p w:rsidR="00A761EF" w:rsidRPr="00F457FE" w:rsidRDefault="00A761EF" w:rsidP="00A761EF">
            <w:pPr>
              <w:spacing w:after="0" w:line="240" w:lineRule="auto"/>
              <w:jc w:val="center"/>
              <w:rPr>
                <w:rFonts w:ascii="Times New Roman" w:eastAsia="Times New Roman" w:hAnsi="Times New Roman" w:cs="Times New Roman"/>
                <w:color w:val="000000"/>
                <w:sz w:val="24"/>
                <w:szCs w:val="24"/>
              </w:rPr>
            </w:pPr>
            <w:r w:rsidRPr="00F457FE">
              <w:rPr>
                <w:rFonts w:ascii="Times New Roman" w:eastAsia="Times New Roman" w:hAnsi="Times New Roman" w:cs="Times New Roman"/>
                <w:color w:val="000000"/>
                <w:sz w:val="24"/>
                <w:szCs w:val="24"/>
              </w:rPr>
              <w:t>-57.14</w:t>
            </w:r>
          </w:p>
        </w:tc>
      </w:tr>
      <w:tr w:rsidR="00A761EF" w:rsidRPr="00F457FE" w:rsidTr="008D39FA">
        <w:trPr>
          <w:trHeight w:val="304"/>
        </w:trPr>
        <w:tc>
          <w:tcPr>
            <w:tcW w:w="2208" w:type="dxa"/>
            <w:tcBorders>
              <w:top w:val="nil"/>
              <w:left w:val="single" w:sz="4" w:space="0" w:color="auto"/>
              <w:bottom w:val="single" w:sz="4" w:space="0" w:color="auto"/>
              <w:right w:val="single" w:sz="4" w:space="0" w:color="auto"/>
            </w:tcBorders>
            <w:shd w:val="clear" w:color="auto" w:fill="auto"/>
            <w:noWrap/>
            <w:vAlign w:val="center"/>
            <w:hideMark/>
          </w:tcPr>
          <w:p w:rsidR="00A761EF" w:rsidRPr="00F457FE" w:rsidRDefault="00A761EF" w:rsidP="00A761EF">
            <w:pPr>
              <w:spacing w:after="0" w:line="240" w:lineRule="auto"/>
              <w:jc w:val="center"/>
              <w:rPr>
                <w:rFonts w:ascii="Times New Roman" w:eastAsia="Times New Roman" w:hAnsi="Times New Roman" w:cs="Times New Roman"/>
                <w:color w:val="000000"/>
                <w:sz w:val="24"/>
                <w:szCs w:val="24"/>
              </w:rPr>
            </w:pPr>
            <w:r w:rsidRPr="00F457FE">
              <w:rPr>
                <w:rFonts w:ascii="Times New Roman" w:eastAsia="Times New Roman" w:hAnsi="Times New Roman" w:cs="Times New Roman"/>
                <w:color w:val="000000"/>
                <w:sz w:val="24"/>
                <w:szCs w:val="24"/>
              </w:rPr>
              <w:t>June</w:t>
            </w:r>
          </w:p>
        </w:tc>
        <w:tc>
          <w:tcPr>
            <w:tcW w:w="1122" w:type="dxa"/>
            <w:tcBorders>
              <w:top w:val="nil"/>
              <w:left w:val="nil"/>
              <w:bottom w:val="single" w:sz="4" w:space="0" w:color="auto"/>
              <w:right w:val="single" w:sz="4" w:space="0" w:color="auto"/>
            </w:tcBorders>
            <w:shd w:val="clear" w:color="auto" w:fill="auto"/>
            <w:noWrap/>
            <w:vAlign w:val="bottom"/>
            <w:hideMark/>
          </w:tcPr>
          <w:p w:rsidR="00A761EF" w:rsidRPr="00F457FE" w:rsidRDefault="00A761EF" w:rsidP="00A761EF">
            <w:pPr>
              <w:spacing w:after="0" w:line="240" w:lineRule="auto"/>
              <w:jc w:val="center"/>
              <w:rPr>
                <w:rFonts w:ascii="Times New Roman" w:eastAsia="Times New Roman" w:hAnsi="Times New Roman" w:cs="Times New Roman"/>
                <w:color w:val="000000"/>
                <w:sz w:val="24"/>
                <w:szCs w:val="24"/>
              </w:rPr>
            </w:pPr>
            <w:r w:rsidRPr="00F457FE">
              <w:rPr>
                <w:rFonts w:ascii="Times New Roman" w:eastAsia="Times New Roman" w:hAnsi="Times New Roman" w:cs="Times New Roman"/>
                <w:color w:val="000000"/>
                <w:sz w:val="24"/>
                <w:szCs w:val="24"/>
              </w:rPr>
              <w:t>4</w:t>
            </w:r>
          </w:p>
        </w:tc>
        <w:tc>
          <w:tcPr>
            <w:tcW w:w="1254" w:type="dxa"/>
            <w:tcBorders>
              <w:top w:val="nil"/>
              <w:left w:val="nil"/>
              <w:bottom w:val="single" w:sz="4" w:space="0" w:color="auto"/>
              <w:right w:val="single" w:sz="4" w:space="0" w:color="auto"/>
            </w:tcBorders>
            <w:shd w:val="clear" w:color="auto" w:fill="auto"/>
            <w:noWrap/>
            <w:vAlign w:val="bottom"/>
            <w:hideMark/>
          </w:tcPr>
          <w:p w:rsidR="00A761EF" w:rsidRPr="00F457FE" w:rsidRDefault="00A761EF" w:rsidP="00A761EF">
            <w:pPr>
              <w:spacing w:after="0" w:line="240" w:lineRule="auto"/>
              <w:jc w:val="center"/>
              <w:rPr>
                <w:rFonts w:ascii="Times New Roman" w:eastAsia="Times New Roman" w:hAnsi="Times New Roman" w:cs="Times New Roman"/>
                <w:color w:val="000000"/>
                <w:sz w:val="24"/>
                <w:szCs w:val="24"/>
              </w:rPr>
            </w:pPr>
            <w:r w:rsidRPr="00F457FE">
              <w:rPr>
                <w:rFonts w:ascii="Times New Roman" w:eastAsia="Times New Roman" w:hAnsi="Times New Roman" w:cs="Times New Roman"/>
                <w:color w:val="000000"/>
                <w:sz w:val="24"/>
                <w:szCs w:val="24"/>
              </w:rPr>
              <w:t>8.33</w:t>
            </w:r>
          </w:p>
        </w:tc>
        <w:tc>
          <w:tcPr>
            <w:tcW w:w="1122" w:type="dxa"/>
            <w:tcBorders>
              <w:top w:val="nil"/>
              <w:left w:val="nil"/>
              <w:bottom w:val="single" w:sz="4" w:space="0" w:color="auto"/>
              <w:right w:val="single" w:sz="4" w:space="0" w:color="auto"/>
            </w:tcBorders>
            <w:shd w:val="clear" w:color="auto" w:fill="auto"/>
            <w:noWrap/>
            <w:vAlign w:val="bottom"/>
            <w:hideMark/>
          </w:tcPr>
          <w:p w:rsidR="00A761EF" w:rsidRPr="00F457FE" w:rsidRDefault="00A761EF" w:rsidP="00A761EF">
            <w:pPr>
              <w:spacing w:after="0" w:line="240" w:lineRule="auto"/>
              <w:jc w:val="center"/>
              <w:rPr>
                <w:rFonts w:ascii="Times New Roman" w:eastAsia="Times New Roman" w:hAnsi="Times New Roman" w:cs="Times New Roman"/>
                <w:color w:val="000000"/>
                <w:sz w:val="24"/>
                <w:szCs w:val="24"/>
              </w:rPr>
            </w:pPr>
            <w:r w:rsidRPr="00F457FE">
              <w:rPr>
                <w:rFonts w:ascii="Times New Roman" w:eastAsia="Times New Roman" w:hAnsi="Times New Roman" w:cs="Times New Roman"/>
                <w:color w:val="000000"/>
                <w:sz w:val="24"/>
                <w:szCs w:val="24"/>
              </w:rPr>
              <w:t>4</w:t>
            </w:r>
          </w:p>
        </w:tc>
        <w:tc>
          <w:tcPr>
            <w:tcW w:w="1420" w:type="dxa"/>
            <w:tcBorders>
              <w:top w:val="nil"/>
              <w:left w:val="nil"/>
              <w:bottom w:val="single" w:sz="4" w:space="0" w:color="auto"/>
              <w:right w:val="single" w:sz="4" w:space="0" w:color="auto"/>
            </w:tcBorders>
            <w:shd w:val="clear" w:color="auto" w:fill="auto"/>
            <w:noWrap/>
            <w:vAlign w:val="bottom"/>
            <w:hideMark/>
          </w:tcPr>
          <w:p w:rsidR="00A761EF" w:rsidRPr="00F457FE" w:rsidRDefault="00A761EF" w:rsidP="00A761EF">
            <w:pPr>
              <w:spacing w:after="0" w:line="240" w:lineRule="auto"/>
              <w:jc w:val="center"/>
              <w:rPr>
                <w:rFonts w:ascii="Times New Roman" w:eastAsia="Times New Roman" w:hAnsi="Times New Roman" w:cs="Times New Roman"/>
                <w:color w:val="000000"/>
                <w:sz w:val="24"/>
                <w:szCs w:val="24"/>
              </w:rPr>
            </w:pPr>
            <w:r w:rsidRPr="00F457FE">
              <w:rPr>
                <w:rFonts w:ascii="Times New Roman" w:eastAsia="Times New Roman" w:hAnsi="Times New Roman" w:cs="Times New Roman"/>
                <w:color w:val="000000"/>
                <w:sz w:val="24"/>
                <w:szCs w:val="24"/>
              </w:rPr>
              <w:t>6.3</w:t>
            </w:r>
          </w:p>
        </w:tc>
        <w:tc>
          <w:tcPr>
            <w:tcW w:w="2143" w:type="dxa"/>
            <w:tcBorders>
              <w:top w:val="nil"/>
              <w:left w:val="nil"/>
              <w:bottom w:val="single" w:sz="4" w:space="0" w:color="auto"/>
              <w:right w:val="single" w:sz="4" w:space="0" w:color="auto"/>
            </w:tcBorders>
            <w:shd w:val="clear" w:color="auto" w:fill="auto"/>
            <w:noWrap/>
            <w:vAlign w:val="bottom"/>
            <w:hideMark/>
          </w:tcPr>
          <w:p w:rsidR="00A761EF" w:rsidRPr="00F457FE" w:rsidRDefault="00A761EF" w:rsidP="00A761EF">
            <w:pPr>
              <w:spacing w:after="0" w:line="240" w:lineRule="auto"/>
              <w:jc w:val="center"/>
              <w:rPr>
                <w:rFonts w:ascii="Times New Roman" w:eastAsia="Times New Roman" w:hAnsi="Times New Roman" w:cs="Times New Roman"/>
                <w:color w:val="000000"/>
                <w:sz w:val="24"/>
                <w:szCs w:val="24"/>
              </w:rPr>
            </w:pPr>
            <w:r w:rsidRPr="00F457FE">
              <w:rPr>
                <w:rFonts w:ascii="Times New Roman" w:eastAsia="Times New Roman" w:hAnsi="Times New Roman" w:cs="Times New Roman"/>
                <w:color w:val="000000"/>
                <w:sz w:val="24"/>
                <w:szCs w:val="24"/>
              </w:rPr>
              <w:t>0.00</w:t>
            </w:r>
          </w:p>
        </w:tc>
      </w:tr>
      <w:tr w:rsidR="00A761EF" w:rsidRPr="00F457FE" w:rsidTr="008D39FA">
        <w:trPr>
          <w:trHeight w:val="304"/>
        </w:trPr>
        <w:tc>
          <w:tcPr>
            <w:tcW w:w="2208" w:type="dxa"/>
            <w:tcBorders>
              <w:top w:val="nil"/>
              <w:left w:val="single" w:sz="4" w:space="0" w:color="auto"/>
              <w:bottom w:val="single" w:sz="4" w:space="0" w:color="auto"/>
              <w:right w:val="single" w:sz="4" w:space="0" w:color="auto"/>
            </w:tcBorders>
            <w:shd w:val="clear" w:color="auto" w:fill="auto"/>
            <w:noWrap/>
            <w:vAlign w:val="center"/>
            <w:hideMark/>
          </w:tcPr>
          <w:p w:rsidR="00A761EF" w:rsidRPr="00F457FE" w:rsidRDefault="00A761EF" w:rsidP="00A761EF">
            <w:pPr>
              <w:spacing w:after="0" w:line="240" w:lineRule="auto"/>
              <w:jc w:val="center"/>
              <w:rPr>
                <w:rFonts w:ascii="Times New Roman" w:eastAsia="Times New Roman" w:hAnsi="Times New Roman" w:cs="Times New Roman"/>
                <w:b/>
                <w:bCs/>
                <w:color w:val="000000"/>
                <w:sz w:val="24"/>
                <w:szCs w:val="24"/>
              </w:rPr>
            </w:pPr>
            <w:r w:rsidRPr="00F457FE">
              <w:rPr>
                <w:rFonts w:ascii="Times New Roman" w:eastAsia="Times New Roman" w:hAnsi="Times New Roman" w:cs="Times New Roman"/>
                <w:b/>
                <w:bCs/>
                <w:color w:val="000000"/>
                <w:sz w:val="24"/>
                <w:szCs w:val="24"/>
              </w:rPr>
              <w:t>Total</w:t>
            </w:r>
          </w:p>
        </w:tc>
        <w:tc>
          <w:tcPr>
            <w:tcW w:w="1122" w:type="dxa"/>
            <w:tcBorders>
              <w:top w:val="nil"/>
              <w:left w:val="nil"/>
              <w:bottom w:val="single" w:sz="4" w:space="0" w:color="auto"/>
              <w:right w:val="single" w:sz="4" w:space="0" w:color="auto"/>
            </w:tcBorders>
            <w:shd w:val="clear" w:color="auto" w:fill="auto"/>
            <w:noWrap/>
            <w:vAlign w:val="bottom"/>
            <w:hideMark/>
          </w:tcPr>
          <w:p w:rsidR="00A761EF" w:rsidRPr="00F457FE" w:rsidRDefault="00A761EF" w:rsidP="00A761EF">
            <w:pPr>
              <w:spacing w:after="0" w:line="240" w:lineRule="auto"/>
              <w:jc w:val="center"/>
              <w:rPr>
                <w:rFonts w:ascii="Times New Roman" w:eastAsia="Times New Roman" w:hAnsi="Times New Roman" w:cs="Times New Roman"/>
                <w:b/>
                <w:bCs/>
                <w:color w:val="000000"/>
                <w:sz w:val="24"/>
                <w:szCs w:val="24"/>
              </w:rPr>
            </w:pPr>
            <w:r w:rsidRPr="00F457FE">
              <w:rPr>
                <w:rFonts w:ascii="Times New Roman" w:eastAsia="Times New Roman" w:hAnsi="Times New Roman" w:cs="Times New Roman"/>
                <w:b/>
                <w:bCs/>
                <w:color w:val="000000"/>
                <w:sz w:val="24"/>
                <w:szCs w:val="24"/>
              </w:rPr>
              <w:t>48</w:t>
            </w:r>
          </w:p>
        </w:tc>
        <w:tc>
          <w:tcPr>
            <w:tcW w:w="1254" w:type="dxa"/>
            <w:tcBorders>
              <w:top w:val="nil"/>
              <w:left w:val="nil"/>
              <w:bottom w:val="single" w:sz="4" w:space="0" w:color="auto"/>
              <w:right w:val="single" w:sz="4" w:space="0" w:color="auto"/>
            </w:tcBorders>
            <w:shd w:val="clear" w:color="auto" w:fill="auto"/>
            <w:noWrap/>
            <w:vAlign w:val="bottom"/>
            <w:hideMark/>
          </w:tcPr>
          <w:p w:rsidR="00A761EF" w:rsidRPr="00F457FE" w:rsidRDefault="00A761EF" w:rsidP="00A761EF">
            <w:pPr>
              <w:spacing w:after="0" w:line="240" w:lineRule="auto"/>
              <w:jc w:val="center"/>
              <w:rPr>
                <w:rFonts w:ascii="Times New Roman" w:eastAsia="Times New Roman" w:hAnsi="Times New Roman" w:cs="Times New Roman"/>
                <w:b/>
                <w:bCs/>
                <w:color w:val="000000"/>
                <w:sz w:val="24"/>
                <w:szCs w:val="24"/>
              </w:rPr>
            </w:pPr>
            <w:r w:rsidRPr="00F457FE">
              <w:rPr>
                <w:rFonts w:ascii="Times New Roman" w:eastAsia="Times New Roman" w:hAnsi="Times New Roman" w:cs="Times New Roman"/>
                <w:b/>
                <w:bCs/>
                <w:color w:val="000000"/>
                <w:sz w:val="24"/>
                <w:szCs w:val="24"/>
              </w:rPr>
              <w:t>100</w:t>
            </w:r>
          </w:p>
        </w:tc>
        <w:tc>
          <w:tcPr>
            <w:tcW w:w="1122" w:type="dxa"/>
            <w:tcBorders>
              <w:top w:val="nil"/>
              <w:left w:val="nil"/>
              <w:bottom w:val="single" w:sz="4" w:space="0" w:color="auto"/>
              <w:right w:val="single" w:sz="4" w:space="0" w:color="auto"/>
            </w:tcBorders>
            <w:shd w:val="clear" w:color="auto" w:fill="auto"/>
            <w:noWrap/>
            <w:vAlign w:val="bottom"/>
            <w:hideMark/>
          </w:tcPr>
          <w:p w:rsidR="00A761EF" w:rsidRPr="00F457FE" w:rsidRDefault="00A761EF" w:rsidP="00A761EF">
            <w:pPr>
              <w:spacing w:after="0" w:line="240" w:lineRule="auto"/>
              <w:jc w:val="center"/>
              <w:rPr>
                <w:rFonts w:ascii="Times New Roman" w:eastAsia="Times New Roman" w:hAnsi="Times New Roman" w:cs="Times New Roman"/>
                <w:b/>
                <w:bCs/>
                <w:color w:val="000000"/>
                <w:sz w:val="24"/>
                <w:szCs w:val="24"/>
              </w:rPr>
            </w:pPr>
            <w:r w:rsidRPr="00F457FE">
              <w:rPr>
                <w:rFonts w:ascii="Times New Roman" w:eastAsia="Times New Roman" w:hAnsi="Times New Roman" w:cs="Times New Roman"/>
                <w:b/>
                <w:bCs/>
                <w:color w:val="000000"/>
                <w:sz w:val="24"/>
                <w:szCs w:val="24"/>
              </w:rPr>
              <w:t>64</w:t>
            </w:r>
          </w:p>
        </w:tc>
        <w:tc>
          <w:tcPr>
            <w:tcW w:w="1420" w:type="dxa"/>
            <w:tcBorders>
              <w:top w:val="nil"/>
              <w:left w:val="nil"/>
              <w:bottom w:val="single" w:sz="4" w:space="0" w:color="auto"/>
              <w:right w:val="single" w:sz="4" w:space="0" w:color="auto"/>
            </w:tcBorders>
            <w:shd w:val="clear" w:color="auto" w:fill="auto"/>
            <w:noWrap/>
            <w:vAlign w:val="bottom"/>
            <w:hideMark/>
          </w:tcPr>
          <w:p w:rsidR="00A761EF" w:rsidRPr="00F457FE" w:rsidRDefault="00A761EF" w:rsidP="00A761EF">
            <w:pPr>
              <w:spacing w:after="0" w:line="240" w:lineRule="auto"/>
              <w:jc w:val="center"/>
              <w:rPr>
                <w:rFonts w:ascii="Times New Roman" w:eastAsia="Times New Roman" w:hAnsi="Times New Roman" w:cs="Times New Roman"/>
                <w:b/>
                <w:bCs/>
                <w:color w:val="000000"/>
                <w:sz w:val="24"/>
                <w:szCs w:val="24"/>
              </w:rPr>
            </w:pPr>
            <w:r w:rsidRPr="00F457FE">
              <w:rPr>
                <w:rFonts w:ascii="Times New Roman" w:eastAsia="Times New Roman" w:hAnsi="Times New Roman" w:cs="Times New Roman"/>
                <w:b/>
                <w:bCs/>
                <w:color w:val="000000"/>
                <w:sz w:val="24"/>
                <w:szCs w:val="24"/>
              </w:rPr>
              <w:t>100</w:t>
            </w:r>
          </w:p>
        </w:tc>
        <w:tc>
          <w:tcPr>
            <w:tcW w:w="2143" w:type="dxa"/>
            <w:tcBorders>
              <w:top w:val="nil"/>
              <w:left w:val="nil"/>
              <w:bottom w:val="single" w:sz="4" w:space="0" w:color="auto"/>
              <w:right w:val="single" w:sz="4" w:space="0" w:color="auto"/>
            </w:tcBorders>
            <w:shd w:val="clear" w:color="auto" w:fill="auto"/>
            <w:noWrap/>
            <w:vAlign w:val="bottom"/>
            <w:hideMark/>
          </w:tcPr>
          <w:p w:rsidR="00A761EF" w:rsidRPr="00F457FE" w:rsidRDefault="00A761EF" w:rsidP="00A761EF">
            <w:pPr>
              <w:spacing w:after="0" w:line="240" w:lineRule="auto"/>
              <w:jc w:val="center"/>
              <w:rPr>
                <w:rFonts w:ascii="Times New Roman" w:eastAsia="Times New Roman" w:hAnsi="Times New Roman" w:cs="Times New Roman"/>
                <w:color w:val="000000"/>
                <w:sz w:val="24"/>
                <w:szCs w:val="24"/>
              </w:rPr>
            </w:pPr>
          </w:p>
        </w:tc>
      </w:tr>
    </w:tbl>
    <w:p w:rsidR="00EF52F5" w:rsidRPr="00F457FE" w:rsidRDefault="00927EC2">
      <w:pPr>
        <w:rPr>
          <w:rFonts w:ascii="Times New Roman" w:hAnsi="Times New Roman" w:cs="Times New Roman"/>
          <w:sz w:val="24"/>
          <w:szCs w:val="24"/>
        </w:rPr>
      </w:pPr>
      <w:r w:rsidRPr="00F457FE">
        <w:rPr>
          <w:rFonts w:ascii="Times New Roman" w:hAnsi="Times New Roman" w:cs="Times New Roman"/>
          <w:sz w:val="24"/>
          <w:szCs w:val="24"/>
        </w:rPr>
        <w:t>From Table 3 above, a total of</w:t>
      </w:r>
      <w:r w:rsidRPr="00F457FE">
        <w:rPr>
          <w:rFonts w:ascii="Times New Roman" w:hAnsi="Times New Roman" w:cs="Times New Roman"/>
          <w:b/>
          <w:sz w:val="24"/>
          <w:szCs w:val="24"/>
        </w:rPr>
        <w:t xml:space="preserve"> 48</w:t>
      </w:r>
      <w:r w:rsidRPr="00F457FE">
        <w:rPr>
          <w:rFonts w:ascii="Times New Roman" w:hAnsi="Times New Roman" w:cs="Times New Roman"/>
          <w:sz w:val="24"/>
          <w:szCs w:val="24"/>
        </w:rPr>
        <w:t xml:space="preserve"> lives were lost in the first half of the 2022. March recorded the highest number of fatalities with</w:t>
      </w:r>
      <w:r w:rsidRPr="00F457FE">
        <w:rPr>
          <w:rFonts w:ascii="Times New Roman" w:hAnsi="Times New Roman" w:cs="Times New Roman"/>
          <w:b/>
          <w:sz w:val="24"/>
          <w:szCs w:val="24"/>
        </w:rPr>
        <w:t xml:space="preserve"> 16</w:t>
      </w:r>
      <w:r w:rsidRPr="00F457FE">
        <w:rPr>
          <w:rFonts w:ascii="Times New Roman" w:hAnsi="Times New Roman" w:cs="Times New Roman"/>
          <w:sz w:val="24"/>
          <w:szCs w:val="24"/>
        </w:rPr>
        <w:t xml:space="preserve"> followed by February with </w:t>
      </w:r>
      <w:r w:rsidRPr="00F457FE">
        <w:rPr>
          <w:rFonts w:ascii="Times New Roman" w:hAnsi="Times New Roman" w:cs="Times New Roman"/>
          <w:b/>
          <w:sz w:val="24"/>
          <w:szCs w:val="24"/>
        </w:rPr>
        <w:t>10</w:t>
      </w:r>
      <w:r w:rsidRPr="00F457FE">
        <w:rPr>
          <w:rFonts w:ascii="Times New Roman" w:hAnsi="Times New Roman" w:cs="Times New Roman"/>
          <w:sz w:val="24"/>
          <w:szCs w:val="24"/>
        </w:rPr>
        <w:t xml:space="preserve"> fatalities. May 2022 recorded the least fatalities with </w:t>
      </w:r>
      <w:r w:rsidRPr="00F457FE">
        <w:rPr>
          <w:rFonts w:ascii="Times New Roman" w:hAnsi="Times New Roman" w:cs="Times New Roman"/>
          <w:b/>
          <w:sz w:val="24"/>
          <w:szCs w:val="24"/>
        </w:rPr>
        <w:t>3</w:t>
      </w:r>
      <w:r w:rsidRPr="00F457FE">
        <w:rPr>
          <w:rFonts w:ascii="Times New Roman" w:hAnsi="Times New Roman" w:cs="Times New Roman"/>
          <w:sz w:val="24"/>
          <w:szCs w:val="24"/>
        </w:rPr>
        <w:t xml:space="preserve"> deaths. </w:t>
      </w:r>
    </w:p>
    <w:p w:rsidR="00927EC2" w:rsidRPr="00F457FE" w:rsidRDefault="00927EC2">
      <w:pPr>
        <w:rPr>
          <w:rFonts w:ascii="Times New Roman" w:hAnsi="Times New Roman" w:cs="Times New Roman"/>
          <w:sz w:val="24"/>
          <w:szCs w:val="24"/>
        </w:rPr>
      </w:pPr>
      <w:r w:rsidRPr="00F457FE">
        <w:rPr>
          <w:rFonts w:ascii="Times New Roman" w:hAnsi="Times New Roman" w:cs="Times New Roman"/>
          <w:sz w:val="24"/>
          <w:szCs w:val="24"/>
        </w:rPr>
        <w:t>Figure 3</w:t>
      </w:r>
      <w:r w:rsidR="007524C9" w:rsidRPr="00F457FE">
        <w:rPr>
          <w:rFonts w:ascii="Times New Roman" w:hAnsi="Times New Roman" w:cs="Times New Roman"/>
          <w:sz w:val="24"/>
          <w:szCs w:val="24"/>
        </w:rPr>
        <w:t>: Monthly Crash Situation for 2021 and 2022</w:t>
      </w:r>
    </w:p>
    <w:p w:rsidR="008D39FA" w:rsidRDefault="00B3083F" w:rsidP="00927EC2">
      <w:r>
        <w:rPr>
          <w:noProof/>
        </w:rPr>
        <w:drawing>
          <wp:inline distT="0" distB="0" distL="0" distR="0" wp14:anchorId="284D5D48" wp14:editId="3B004CDA">
            <wp:extent cx="5993394" cy="2299580"/>
            <wp:effectExtent l="0" t="0" r="26670" b="2476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D79D9" w:rsidRPr="00F457FE" w:rsidRDefault="00927EC2" w:rsidP="00927EC2">
      <w:pPr>
        <w:rPr>
          <w:rFonts w:ascii="Times New Roman" w:hAnsi="Times New Roman" w:cs="Times New Roman"/>
          <w:sz w:val="24"/>
          <w:szCs w:val="24"/>
        </w:rPr>
      </w:pPr>
      <w:r w:rsidRPr="00F457FE">
        <w:rPr>
          <w:rFonts w:ascii="Times New Roman" w:hAnsi="Times New Roman" w:cs="Times New Roman"/>
          <w:sz w:val="24"/>
          <w:szCs w:val="24"/>
        </w:rPr>
        <w:lastRenderedPageBreak/>
        <w:t xml:space="preserve">From the figure </w:t>
      </w:r>
      <w:r w:rsidR="007524C9" w:rsidRPr="00F457FE">
        <w:rPr>
          <w:rFonts w:ascii="Times New Roman" w:hAnsi="Times New Roman" w:cs="Times New Roman"/>
          <w:sz w:val="24"/>
          <w:szCs w:val="24"/>
        </w:rPr>
        <w:t xml:space="preserve">3 </w:t>
      </w:r>
      <w:r w:rsidRPr="00F457FE">
        <w:rPr>
          <w:rFonts w:ascii="Times New Roman" w:hAnsi="Times New Roman" w:cs="Times New Roman"/>
          <w:sz w:val="24"/>
          <w:szCs w:val="24"/>
        </w:rPr>
        <w:t>above, the months of 2022 experienced lower fatalities as compared to the months of 2021. March 2022 was the only month to record an increase in fatalities with a 23% increase from 13 fatalities in 2021 to 16 fatalities in 2022. May recorded a 57% decrease in fatalities from 13 fatalities in 2021 to 6 in 2022. April recorded a 53% decrease from 13 fatalities in 2021 to 6 in 2021. January recorded a 47% decrease from 17 fatalities in 2021 to 9 in 2022. February recorded 10 fatalities in 2021 same as in 2022. June recorded no change as fatalities were 4 in 2022 same as in 2021.</w:t>
      </w:r>
    </w:p>
    <w:p w:rsidR="005467E1" w:rsidRPr="005467E1" w:rsidRDefault="005467E1" w:rsidP="005467E1">
      <w:pPr>
        <w:pStyle w:val="Heading2"/>
        <w:numPr>
          <w:ilvl w:val="0"/>
          <w:numId w:val="1"/>
        </w:numPr>
        <w:rPr>
          <w:rFonts w:ascii="Times New Roman" w:eastAsia="Times New Roman" w:hAnsi="Times New Roman" w:cs="Times New Roman"/>
          <w:b/>
          <w:color w:val="auto"/>
          <w:sz w:val="24"/>
          <w:szCs w:val="24"/>
          <w:lang w:val="en-GB"/>
        </w:rPr>
      </w:pPr>
      <w:r w:rsidRPr="00FB664D">
        <w:rPr>
          <w:rFonts w:ascii="Times New Roman" w:eastAsia="Times New Roman" w:hAnsi="Times New Roman" w:cs="Times New Roman"/>
          <w:b/>
          <w:color w:val="auto"/>
          <w:sz w:val="24"/>
          <w:szCs w:val="24"/>
          <w:lang w:val="en-GB"/>
        </w:rPr>
        <w:t xml:space="preserve">Divisional Distribution of </w:t>
      </w:r>
      <w:r w:rsidRPr="00FB664D">
        <w:rPr>
          <w:rFonts w:ascii="Times New Roman" w:eastAsia="Times New Roman" w:hAnsi="Times New Roman" w:cs="Times New Roman"/>
          <w:b/>
          <w:color w:val="auto"/>
          <w:sz w:val="24"/>
          <w:szCs w:val="24"/>
        </w:rPr>
        <w:t>Road Traffic Crash and Casualty Situation</w:t>
      </w:r>
    </w:p>
    <w:p w:rsidR="00927EC2" w:rsidRPr="003D79D9" w:rsidRDefault="005467E1" w:rsidP="005467E1">
      <w:pPr>
        <w:spacing w:after="0" w:line="360" w:lineRule="auto"/>
        <w:contextualSpacing/>
        <w:jc w:val="both"/>
        <w:rPr>
          <w:rFonts w:ascii="Times New Roman" w:eastAsia="Times New Roman" w:hAnsi="Times New Roman" w:cs="Times New Roman"/>
          <w:bCs/>
          <w:sz w:val="24"/>
          <w:szCs w:val="24"/>
          <w:lang w:val="en-GB"/>
        </w:rPr>
      </w:pPr>
      <w:r w:rsidRPr="00DC47CB">
        <w:rPr>
          <w:rFonts w:ascii="Times New Roman" w:eastAsia="Times New Roman" w:hAnsi="Times New Roman" w:cs="Times New Roman"/>
          <w:bCs/>
          <w:sz w:val="24"/>
          <w:szCs w:val="24"/>
          <w:lang w:val="en-GB"/>
        </w:rPr>
        <w:t xml:space="preserve">The </w:t>
      </w:r>
      <w:r>
        <w:rPr>
          <w:rFonts w:ascii="Times New Roman" w:eastAsia="Times New Roman" w:hAnsi="Times New Roman" w:cs="Times New Roman"/>
          <w:bCs/>
          <w:sz w:val="24"/>
          <w:szCs w:val="24"/>
          <w:lang w:val="en-GB"/>
        </w:rPr>
        <w:t>Divisional</w:t>
      </w:r>
      <w:r w:rsidRPr="00DC47CB">
        <w:rPr>
          <w:rFonts w:ascii="Times New Roman" w:eastAsia="Times New Roman" w:hAnsi="Times New Roman" w:cs="Times New Roman"/>
          <w:bCs/>
          <w:sz w:val="24"/>
          <w:szCs w:val="24"/>
          <w:lang w:val="en-GB"/>
        </w:rPr>
        <w:t xml:space="preserve"> distribution on crashes and casualty’s situation </w:t>
      </w:r>
      <w:r>
        <w:rPr>
          <w:rFonts w:ascii="Times New Roman" w:eastAsia="Times New Roman" w:hAnsi="Times New Roman" w:cs="Times New Roman"/>
          <w:bCs/>
          <w:sz w:val="24"/>
          <w:szCs w:val="24"/>
          <w:lang w:val="en-GB"/>
        </w:rPr>
        <w:t>for the first half of</w:t>
      </w:r>
      <w:r w:rsidRPr="00DC47CB">
        <w:rPr>
          <w:rFonts w:ascii="Times New Roman" w:eastAsia="Times New Roman" w:hAnsi="Times New Roman" w:cs="Times New Roman"/>
          <w:bCs/>
          <w:sz w:val="24"/>
          <w:szCs w:val="24"/>
          <w:lang w:val="en-GB"/>
        </w:rPr>
        <w:t xml:space="preserve"> 202</w:t>
      </w:r>
      <w:r>
        <w:rPr>
          <w:rFonts w:ascii="Times New Roman" w:eastAsia="Times New Roman" w:hAnsi="Times New Roman" w:cs="Times New Roman"/>
          <w:bCs/>
          <w:sz w:val="24"/>
          <w:szCs w:val="24"/>
          <w:lang w:val="en-GB"/>
        </w:rPr>
        <w:t xml:space="preserve">2 is </w:t>
      </w:r>
      <w:r w:rsidRPr="003D79D9">
        <w:rPr>
          <w:rFonts w:ascii="Times New Roman" w:eastAsia="Times New Roman" w:hAnsi="Times New Roman" w:cs="Times New Roman"/>
          <w:bCs/>
          <w:sz w:val="24"/>
          <w:szCs w:val="24"/>
          <w:lang w:val="en-GB"/>
        </w:rPr>
        <w:t>presented in table 4 below:</w:t>
      </w:r>
    </w:p>
    <w:p w:rsidR="00EF52F5" w:rsidRPr="003D79D9" w:rsidRDefault="00D90EF3">
      <w:pPr>
        <w:rPr>
          <w:rFonts w:ascii="Times New Roman" w:hAnsi="Times New Roman" w:cs="Times New Roman"/>
          <w:sz w:val="24"/>
          <w:szCs w:val="24"/>
        </w:rPr>
      </w:pPr>
      <w:r w:rsidRPr="003D79D9">
        <w:rPr>
          <w:rFonts w:ascii="Times New Roman" w:hAnsi="Times New Roman" w:cs="Times New Roman"/>
          <w:sz w:val="24"/>
          <w:szCs w:val="24"/>
        </w:rPr>
        <w:t>Table 4:</w:t>
      </w:r>
      <w:r w:rsidR="005533D6" w:rsidRPr="003D79D9">
        <w:rPr>
          <w:rFonts w:ascii="Times New Roman" w:hAnsi="Times New Roman" w:cs="Times New Roman"/>
          <w:sz w:val="24"/>
          <w:szCs w:val="24"/>
        </w:rPr>
        <w:t xml:space="preserve"> </w:t>
      </w:r>
      <w:r w:rsidR="003D79D9" w:rsidRPr="003D79D9">
        <w:rPr>
          <w:rFonts w:ascii="Times New Roman" w:hAnsi="Times New Roman" w:cs="Times New Roman"/>
          <w:sz w:val="24"/>
          <w:szCs w:val="24"/>
        </w:rPr>
        <w:t>Divisional distribution of Road Traffic Case Situation</w:t>
      </w:r>
    </w:p>
    <w:tbl>
      <w:tblPr>
        <w:tblStyle w:val="LightGrid-Accent1"/>
        <w:tblW w:w="9008" w:type="dxa"/>
        <w:tblLook w:val="04A0" w:firstRow="1" w:lastRow="0" w:firstColumn="1" w:lastColumn="0" w:noHBand="0" w:noVBand="1"/>
      </w:tblPr>
      <w:tblGrid>
        <w:gridCol w:w="1851"/>
        <w:gridCol w:w="1347"/>
        <w:gridCol w:w="1347"/>
        <w:gridCol w:w="1224"/>
        <w:gridCol w:w="1592"/>
        <w:gridCol w:w="1647"/>
      </w:tblGrid>
      <w:tr w:rsidR="00555DE5" w:rsidRPr="00C22C9D" w:rsidTr="00D90EF3">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1851" w:type="dxa"/>
            <w:noWrap/>
            <w:hideMark/>
          </w:tcPr>
          <w:p w:rsidR="00555DE5" w:rsidRPr="00C22C9D" w:rsidRDefault="00555DE5" w:rsidP="00A62AEE">
            <w:pPr>
              <w:jc w:val="center"/>
              <w:rPr>
                <w:rFonts w:ascii="Times New Roman" w:eastAsia="Times New Roman" w:hAnsi="Times New Roman" w:cs="Times New Roman"/>
                <w:b w:val="0"/>
                <w:bCs w:val="0"/>
                <w:i/>
                <w:color w:val="000000"/>
                <w:sz w:val="24"/>
                <w:szCs w:val="24"/>
              </w:rPr>
            </w:pPr>
            <w:r w:rsidRPr="00C22C9D">
              <w:rPr>
                <w:rFonts w:ascii="Times New Roman" w:eastAsia="Times New Roman" w:hAnsi="Times New Roman" w:cs="Times New Roman"/>
                <w:i/>
                <w:color w:val="000000"/>
                <w:sz w:val="24"/>
                <w:szCs w:val="24"/>
              </w:rPr>
              <w:t>Divisions</w:t>
            </w:r>
          </w:p>
        </w:tc>
        <w:tc>
          <w:tcPr>
            <w:tcW w:w="1347" w:type="dxa"/>
            <w:noWrap/>
            <w:hideMark/>
          </w:tcPr>
          <w:p w:rsidR="00555DE5" w:rsidRPr="00C22C9D" w:rsidRDefault="00555DE5" w:rsidP="00A62AE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
                <w:color w:val="000000"/>
                <w:sz w:val="24"/>
                <w:szCs w:val="24"/>
              </w:rPr>
            </w:pPr>
            <w:r w:rsidRPr="00C22C9D">
              <w:rPr>
                <w:rFonts w:ascii="Times New Roman" w:eastAsia="Times New Roman" w:hAnsi="Times New Roman" w:cs="Times New Roman"/>
                <w:i/>
                <w:color w:val="000000"/>
                <w:sz w:val="24"/>
                <w:szCs w:val="24"/>
              </w:rPr>
              <w:t>C</w:t>
            </w:r>
            <w:r>
              <w:rPr>
                <w:rFonts w:ascii="Times New Roman" w:eastAsia="Times New Roman" w:hAnsi="Times New Roman" w:cs="Times New Roman"/>
                <w:i/>
                <w:color w:val="000000"/>
                <w:sz w:val="24"/>
                <w:szCs w:val="24"/>
              </w:rPr>
              <w:t>rash</w:t>
            </w:r>
            <w:r w:rsidRPr="00C22C9D">
              <w:rPr>
                <w:rFonts w:ascii="Times New Roman" w:eastAsia="Times New Roman" w:hAnsi="Times New Roman" w:cs="Times New Roman"/>
                <w:i/>
                <w:color w:val="000000"/>
                <w:sz w:val="24"/>
                <w:szCs w:val="24"/>
              </w:rPr>
              <w:t>es</w:t>
            </w:r>
          </w:p>
        </w:tc>
        <w:tc>
          <w:tcPr>
            <w:tcW w:w="1347" w:type="dxa"/>
            <w:noWrap/>
            <w:hideMark/>
          </w:tcPr>
          <w:p w:rsidR="00555DE5" w:rsidRPr="00C22C9D" w:rsidRDefault="00555DE5" w:rsidP="00A62AE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
                <w:color w:val="000000"/>
                <w:sz w:val="24"/>
                <w:szCs w:val="24"/>
              </w:rPr>
            </w:pPr>
            <w:r w:rsidRPr="00C22C9D">
              <w:rPr>
                <w:rFonts w:ascii="Times New Roman" w:eastAsia="Times New Roman" w:hAnsi="Times New Roman" w:cs="Times New Roman"/>
                <w:i/>
                <w:color w:val="000000"/>
                <w:sz w:val="24"/>
                <w:szCs w:val="24"/>
              </w:rPr>
              <w:t>Vehicles Involved</w:t>
            </w:r>
          </w:p>
        </w:tc>
        <w:tc>
          <w:tcPr>
            <w:tcW w:w="1224" w:type="dxa"/>
            <w:noWrap/>
            <w:hideMark/>
          </w:tcPr>
          <w:p w:rsidR="00555DE5" w:rsidRPr="00C22C9D" w:rsidRDefault="00555DE5" w:rsidP="00A62AE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
                <w:color w:val="000000"/>
                <w:sz w:val="24"/>
                <w:szCs w:val="24"/>
              </w:rPr>
            </w:pPr>
            <w:r w:rsidRPr="00C22C9D">
              <w:rPr>
                <w:rFonts w:ascii="Times New Roman" w:eastAsia="Times New Roman" w:hAnsi="Times New Roman" w:cs="Times New Roman"/>
                <w:i/>
                <w:color w:val="000000"/>
                <w:sz w:val="24"/>
                <w:szCs w:val="24"/>
              </w:rPr>
              <w:t>Persons Killed</w:t>
            </w:r>
          </w:p>
        </w:tc>
        <w:tc>
          <w:tcPr>
            <w:tcW w:w="1592" w:type="dxa"/>
            <w:noWrap/>
            <w:hideMark/>
          </w:tcPr>
          <w:p w:rsidR="00555DE5" w:rsidRPr="00C22C9D" w:rsidRDefault="00555DE5" w:rsidP="00A62AE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
                <w:color w:val="000000"/>
                <w:sz w:val="24"/>
                <w:szCs w:val="24"/>
              </w:rPr>
            </w:pPr>
            <w:r w:rsidRPr="00C22C9D">
              <w:rPr>
                <w:rFonts w:ascii="Times New Roman" w:eastAsia="Times New Roman" w:hAnsi="Times New Roman" w:cs="Times New Roman"/>
                <w:i/>
                <w:color w:val="000000"/>
                <w:sz w:val="24"/>
                <w:szCs w:val="24"/>
              </w:rPr>
              <w:t>Persons Injured</w:t>
            </w:r>
          </w:p>
        </w:tc>
        <w:tc>
          <w:tcPr>
            <w:tcW w:w="1647" w:type="dxa"/>
            <w:noWrap/>
            <w:hideMark/>
          </w:tcPr>
          <w:p w:rsidR="00555DE5" w:rsidRPr="00C22C9D" w:rsidRDefault="00555DE5" w:rsidP="00A62AE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
                <w:color w:val="000000"/>
                <w:sz w:val="24"/>
                <w:szCs w:val="24"/>
              </w:rPr>
            </w:pPr>
            <w:r w:rsidRPr="00C22C9D">
              <w:rPr>
                <w:rFonts w:ascii="Times New Roman" w:eastAsia="Times New Roman" w:hAnsi="Times New Roman" w:cs="Times New Roman"/>
                <w:i/>
                <w:color w:val="000000"/>
                <w:sz w:val="24"/>
                <w:szCs w:val="24"/>
              </w:rPr>
              <w:t>Pedestrians knocked down</w:t>
            </w:r>
          </w:p>
        </w:tc>
      </w:tr>
      <w:tr w:rsidR="00555DE5" w:rsidRPr="00C22C9D" w:rsidTr="00D90EF3">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1851" w:type="dxa"/>
            <w:noWrap/>
            <w:hideMark/>
          </w:tcPr>
          <w:p w:rsidR="00555DE5" w:rsidRPr="00C22C9D" w:rsidRDefault="00555DE5" w:rsidP="00A62AEE">
            <w:pPr>
              <w:jc w:val="center"/>
              <w:rPr>
                <w:rFonts w:ascii="Times New Roman" w:eastAsia="Times New Roman" w:hAnsi="Times New Roman" w:cs="Times New Roman"/>
                <w:i/>
                <w:color w:val="000000"/>
                <w:sz w:val="24"/>
                <w:szCs w:val="24"/>
              </w:rPr>
            </w:pPr>
            <w:r w:rsidRPr="00C22C9D">
              <w:rPr>
                <w:rFonts w:ascii="Times New Roman" w:eastAsia="Times New Roman" w:hAnsi="Times New Roman" w:cs="Times New Roman"/>
                <w:i/>
                <w:color w:val="000000"/>
                <w:sz w:val="24"/>
                <w:szCs w:val="24"/>
              </w:rPr>
              <w:t>Ho Division</w:t>
            </w:r>
          </w:p>
        </w:tc>
        <w:tc>
          <w:tcPr>
            <w:tcW w:w="1347" w:type="dxa"/>
            <w:noWrap/>
            <w:hideMark/>
          </w:tcPr>
          <w:p w:rsidR="00555DE5" w:rsidRPr="00C22C9D" w:rsidRDefault="00620074" w:rsidP="00A62A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w:t>
            </w:r>
          </w:p>
        </w:tc>
        <w:tc>
          <w:tcPr>
            <w:tcW w:w="1347" w:type="dxa"/>
            <w:noWrap/>
            <w:hideMark/>
          </w:tcPr>
          <w:p w:rsidR="00555DE5" w:rsidRPr="00C22C9D" w:rsidRDefault="00555DE5" w:rsidP="00A62A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187</w:t>
            </w:r>
          </w:p>
        </w:tc>
        <w:tc>
          <w:tcPr>
            <w:tcW w:w="1224" w:type="dxa"/>
            <w:noWrap/>
            <w:hideMark/>
          </w:tcPr>
          <w:p w:rsidR="00555DE5" w:rsidRPr="00C22C9D" w:rsidRDefault="00555DE5" w:rsidP="00A62A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1592" w:type="dxa"/>
            <w:noWrap/>
            <w:hideMark/>
          </w:tcPr>
          <w:p w:rsidR="00555DE5" w:rsidRPr="00C22C9D" w:rsidRDefault="00555DE5" w:rsidP="00A62A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w:t>
            </w:r>
          </w:p>
        </w:tc>
        <w:tc>
          <w:tcPr>
            <w:tcW w:w="1647" w:type="dxa"/>
            <w:noWrap/>
            <w:hideMark/>
          </w:tcPr>
          <w:p w:rsidR="00555DE5" w:rsidRPr="00C22C9D" w:rsidRDefault="00555DE5" w:rsidP="00A62A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C22C9D">
              <w:rPr>
                <w:rFonts w:ascii="Times New Roman" w:eastAsia="Times New Roman" w:hAnsi="Times New Roman" w:cs="Times New Roman"/>
                <w:color w:val="000000"/>
                <w:sz w:val="24"/>
                <w:szCs w:val="24"/>
              </w:rPr>
              <w:t>8</w:t>
            </w:r>
          </w:p>
        </w:tc>
      </w:tr>
      <w:tr w:rsidR="00555DE5" w:rsidRPr="00C22C9D" w:rsidTr="00D90EF3">
        <w:trPr>
          <w:cnfStyle w:val="000000010000" w:firstRow="0" w:lastRow="0" w:firstColumn="0" w:lastColumn="0" w:oddVBand="0" w:evenVBand="0" w:oddHBand="0" w:evenHBand="1"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1851" w:type="dxa"/>
            <w:noWrap/>
            <w:hideMark/>
          </w:tcPr>
          <w:p w:rsidR="00555DE5" w:rsidRPr="00C22C9D" w:rsidRDefault="00555DE5" w:rsidP="00A62AEE">
            <w:pPr>
              <w:jc w:val="center"/>
              <w:rPr>
                <w:rFonts w:ascii="Times New Roman" w:eastAsia="Times New Roman" w:hAnsi="Times New Roman" w:cs="Times New Roman"/>
                <w:i/>
                <w:color w:val="000000"/>
                <w:sz w:val="24"/>
                <w:szCs w:val="24"/>
              </w:rPr>
            </w:pPr>
            <w:r w:rsidRPr="00C22C9D">
              <w:rPr>
                <w:rFonts w:ascii="Times New Roman" w:eastAsia="Times New Roman" w:hAnsi="Times New Roman" w:cs="Times New Roman"/>
                <w:i/>
                <w:color w:val="000000"/>
                <w:sz w:val="24"/>
                <w:szCs w:val="24"/>
              </w:rPr>
              <w:t>Keta Division</w:t>
            </w:r>
          </w:p>
        </w:tc>
        <w:tc>
          <w:tcPr>
            <w:tcW w:w="1347" w:type="dxa"/>
            <w:noWrap/>
            <w:hideMark/>
          </w:tcPr>
          <w:p w:rsidR="00555DE5" w:rsidRPr="00C22C9D" w:rsidRDefault="00555DE5" w:rsidP="00A62AEE">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1347" w:type="dxa"/>
            <w:noWrap/>
            <w:hideMark/>
          </w:tcPr>
          <w:p w:rsidR="00555DE5" w:rsidRPr="00C22C9D" w:rsidRDefault="00555DE5" w:rsidP="00A62AEE">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tc>
        <w:tc>
          <w:tcPr>
            <w:tcW w:w="1224" w:type="dxa"/>
            <w:noWrap/>
            <w:hideMark/>
          </w:tcPr>
          <w:p w:rsidR="00555DE5" w:rsidRPr="00C22C9D" w:rsidRDefault="00555DE5" w:rsidP="00A62AEE">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592" w:type="dxa"/>
            <w:noWrap/>
            <w:hideMark/>
          </w:tcPr>
          <w:p w:rsidR="00555DE5" w:rsidRPr="00C22C9D" w:rsidRDefault="00555DE5" w:rsidP="00A62AEE">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tc>
        <w:tc>
          <w:tcPr>
            <w:tcW w:w="1647" w:type="dxa"/>
            <w:noWrap/>
            <w:hideMark/>
          </w:tcPr>
          <w:p w:rsidR="00555DE5" w:rsidRPr="00C22C9D" w:rsidRDefault="00555DE5" w:rsidP="00A62AEE">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r>
      <w:tr w:rsidR="00555DE5" w:rsidRPr="00C22C9D" w:rsidTr="00D90EF3">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1851" w:type="dxa"/>
            <w:noWrap/>
            <w:hideMark/>
          </w:tcPr>
          <w:p w:rsidR="00555DE5" w:rsidRPr="00C22C9D" w:rsidRDefault="00555DE5" w:rsidP="00A62AEE">
            <w:pPr>
              <w:jc w:val="center"/>
              <w:rPr>
                <w:rFonts w:ascii="Times New Roman" w:eastAsia="Times New Roman" w:hAnsi="Times New Roman" w:cs="Times New Roman"/>
                <w:i/>
                <w:color w:val="000000"/>
                <w:sz w:val="24"/>
                <w:szCs w:val="24"/>
              </w:rPr>
            </w:pPr>
            <w:r w:rsidRPr="00C22C9D">
              <w:rPr>
                <w:rFonts w:ascii="Times New Roman" w:eastAsia="Times New Roman" w:hAnsi="Times New Roman" w:cs="Times New Roman"/>
                <w:i/>
                <w:color w:val="000000"/>
                <w:sz w:val="24"/>
                <w:szCs w:val="24"/>
              </w:rPr>
              <w:t>Tongu Division</w:t>
            </w:r>
          </w:p>
        </w:tc>
        <w:tc>
          <w:tcPr>
            <w:tcW w:w="1347" w:type="dxa"/>
            <w:noWrap/>
            <w:hideMark/>
          </w:tcPr>
          <w:p w:rsidR="00555DE5" w:rsidRPr="00C22C9D" w:rsidRDefault="00555DE5" w:rsidP="00A62A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1347" w:type="dxa"/>
            <w:noWrap/>
            <w:hideMark/>
          </w:tcPr>
          <w:p w:rsidR="00555DE5" w:rsidRPr="00C22C9D" w:rsidRDefault="00555DE5" w:rsidP="00A62A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tc>
        <w:tc>
          <w:tcPr>
            <w:tcW w:w="1224" w:type="dxa"/>
            <w:noWrap/>
            <w:hideMark/>
          </w:tcPr>
          <w:p w:rsidR="00555DE5" w:rsidRPr="00C22C9D" w:rsidRDefault="00555DE5" w:rsidP="00A62A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1592" w:type="dxa"/>
            <w:noWrap/>
            <w:hideMark/>
          </w:tcPr>
          <w:p w:rsidR="00555DE5" w:rsidRPr="00C22C9D" w:rsidRDefault="00555DE5" w:rsidP="00A62A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647" w:type="dxa"/>
            <w:noWrap/>
            <w:hideMark/>
          </w:tcPr>
          <w:p w:rsidR="00555DE5" w:rsidRPr="00C22C9D" w:rsidRDefault="00555DE5" w:rsidP="00A62A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555DE5" w:rsidRPr="00C22C9D" w:rsidTr="00D90EF3">
        <w:trPr>
          <w:cnfStyle w:val="000000010000" w:firstRow="0" w:lastRow="0" w:firstColumn="0" w:lastColumn="0" w:oddVBand="0" w:evenVBand="0" w:oddHBand="0" w:evenHBand="1"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1851" w:type="dxa"/>
            <w:noWrap/>
            <w:hideMark/>
          </w:tcPr>
          <w:p w:rsidR="00555DE5" w:rsidRPr="00C22C9D" w:rsidRDefault="00555DE5" w:rsidP="00A62AEE">
            <w:pPr>
              <w:jc w:val="center"/>
              <w:rPr>
                <w:rFonts w:ascii="Times New Roman" w:eastAsia="Times New Roman" w:hAnsi="Times New Roman" w:cs="Times New Roman"/>
                <w:i/>
                <w:color w:val="000000"/>
                <w:sz w:val="24"/>
                <w:szCs w:val="24"/>
              </w:rPr>
            </w:pPr>
            <w:r w:rsidRPr="00C22C9D">
              <w:rPr>
                <w:rFonts w:ascii="Times New Roman" w:eastAsia="Times New Roman" w:hAnsi="Times New Roman" w:cs="Times New Roman"/>
                <w:i/>
                <w:color w:val="000000"/>
                <w:sz w:val="24"/>
                <w:szCs w:val="24"/>
              </w:rPr>
              <w:t>Hohoe Division</w:t>
            </w:r>
          </w:p>
        </w:tc>
        <w:tc>
          <w:tcPr>
            <w:tcW w:w="1347" w:type="dxa"/>
            <w:noWrap/>
            <w:hideMark/>
          </w:tcPr>
          <w:p w:rsidR="00555DE5" w:rsidRPr="00C22C9D" w:rsidRDefault="00555DE5" w:rsidP="00A62AEE">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347" w:type="dxa"/>
            <w:noWrap/>
            <w:hideMark/>
          </w:tcPr>
          <w:p w:rsidR="00555DE5" w:rsidRPr="00C22C9D" w:rsidRDefault="00555DE5" w:rsidP="00A62AEE">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224" w:type="dxa"/>
            <w:noWrap/>
            <w:hideMark/>
          </w:tcPr>
          <w:p w:rsidR="00555DE5" w:rsidRPr="00C22C9D" w:rsidRDefault="00555DE5" w:rsidP="00A62AEE">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C22C9D">
              <w:rPr>
                <w:rFonts w:ascii="Times New Roman" w:eastAsia="Times New Roman" w:hAnsi="Times New Roman" w:cs="Times New Roman"/>
                <w:color w:val="000000"/>
                <w:sz w:val="24"/>
                <w:szCs w:val="24"/>
              </w:rPr>
              <w:t>0</w:t>
            </w:r>
          </w:p>
        </w:tc>
        <w:tc>
          <w:tcPr>
            <w:tcW w:w="1592" w:type="dxa"/>
            <w:noWrap/>
            <w:hideMark/>
          </w:tcPr>
          <w:p w:rsidR="00555DE5" w:rsidRPr="00C22C9D" w:rsidRDefault="00555DE5" w:rsidP="00A62AEE">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647" w:type="dxa"/>
            <w:noWrap/>
            <w:hideMark/>
          </w:tcPr>
          <w:p w:rsidR="00555DE5" w:rsidRPr="00C22C9D" w:rsidRDefault="00555DE5" w:rsidP="00A62AEE">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C22C9D">
              <w:rPr>
                <w:rFonts w:ascii="Times New Roman" w:eastAsia="Times New Roman" w:hAnsi="Times New Roman" w:cs="Times New Roman"/>
                <w:color w:val="000000"/>
                <w:sz w:val="24"/>
                <w:szCs w:val="24"/>
              </w:rPr>
              <w:t>0</w:t>
            </w:r>
          </w:p>
        </w:tc>
      </w:tr>
      <w:tr w:rsidR="00555DE5" w:rsidRPr="00C22C9D" w:rsidTr="00D90EF3">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1851" w:type="dxa"/>
            <w:noWrap/>
            <w:hideMark/>
          </w:tcPr>
          <w:p w:rsidR="00555DE5" w:rsidRPr="00C22C9D" w:rsidRDefault="00555DE5" w:rsidP="00A62AEE">
            <w:pPr>
              <w:jc w:val="center"/>
              <w:rPr>
                <w:rFonts w:ascii="Times New Roman" w:eastAsia="Times New Roman" w:hAnsi="Times New Roman" w:cs="Times New Roman"/>
                <w:i/>
                <w:color w:val="000000"/>
                <w:sz w:val="24"/>
                <w:szCs w:val="24"/>
              </w:rPr>
            </w:pPr>
            <w:r w:rsidRPr="00C22C9D">
              <w:rPr>
                <w:rFonts w:ascii="Times New Roman" w:eastAsia="Times New Roman" w:hAnsi="Times New Roman" w:cs="Times New Roman"/>
                <w:i/>
                <w:color w:val="000000"/>
                <w:sz w:val="24"/>
                <w:szCs w:val="24"/>
              </w:rPr>
              <w:t>Kpando Division</w:t>
            </w:r>
          </w:p>
        </w:tc>
        <w:tc>
          <w:tcPr>
            <w:tcW w:w="1347" w:type="dxa"/>
            <w:noWrap/>
            <w:hideMark/>
          </w:tcPr>
          <w:p w:rsidR="00555DE5" w:rsidRPr="00C22C9D" w:rsidRDefault="00555DE5" w:rsidP="00A62A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347" w:type="dxa"/>
            <w:noWrap/>
            <w:hideMark/>
          </w:tcPr>
          <w:p w:rsidR="00555DE5" w:rsidRPr="00C22C9D" w:rsidRDefault="00555DE5" w:rsidP="00A62A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1224" w:type="dxa"/>
            <w:noWrap/>
            <w:hideMark/>
          </w:tcPr>
          <w:p w:rsidR="00555DE5" w:rsidRPr="00C22C9D" w:rsidRDefault="00555DE5" w:rsidP="00A62A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22C9D">
              <w:rPr>
                <w:rFonts w:ascii="Times New Roman" w:eastAsia="Times New Roman" w:hAnsi="Times New Roman" w:cs="Times New Roman"/>
                <w:color w:val="000000"/>
                <w:sz w:val="24"/>
                <w:szCs w:val="24"/>
              </w:rPr>
              <w:t>1</w:t>
            </w:r>
          </w:p>
        </w:tc>
        <w:tc>
          <w:tcPr>
            <w:tcW w:w="1592" w:type="dxa"/>
            <w:noWrap/>
            <w:hideMark/>
          </w:tcPr>
          <w:p w:rsidR="00555DE5" w:rsidRPr="00C22C9D" w:rsidRDefault="00555DE5" w:rsidP="00A62A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647" w:type="dxa"/>
            <w:noWrap/>
            <w:hideMark/>
          </w:tcPr>
          <w:p w:rsidR="00555DE5" w:rsidRPr="00C22C9D" w:rsidRDefault="00555DE5" w:rsidP="00A62A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555DE5" w:rsidRPr="00C22C9D" w:rsidTr="00D90EF3">
        <w:trPr>
          <w:cnfStyle w:val="000000010000" w:firstRow="0" w:lastRow="0" w:firstColumn="0" w:lastColumn="0" w:oddVBand="0" w:evenVBand="0" w:oddHBand="0" w:evenHBand="1"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1851" w:type="dxa"/>
            <w:noWrap/>
            <w:hideMark/>
          </w:tcPr>
          <w:p w:rsidR="00555DE5" w:rsidRPr="00C22C9D" w:rsidRDefault="00555DE5" w:rsidP="00A62AEE">
            <w:pPr>
              <w:jc w:val="center"/>
              <w:rPr>
                <w:rFonts w:ascii="Times New Roman" w:eastAsia="Times New Roman" w:hAnsi="Times New Roman" w:cs="Times New Roman"/>
                <w:i/>
                <w:color w:val="000000"/>
                <w:sz w:val="24"/>
                <w:szCs w:val="24"/>
              </w:rPr>
            </w:pPr>
            <w:r w:rsidRPr="00C22C9D">
              <w:rPr>
                <w:rFonts w:ascii="Times New Roman" w:eastAsia="Times New Roman" w:hAnsi="Times New Roman" w:cs="Times New Roman"/>
                <w:i/>
                <w:color w:val="000000"/>
                <w:sz w:val="24"/>
                <w:szCs w:val="24"/>
              </w:rPr>
              <w:t>Ketu Division</w:t>
            </w:r>
          </w:p>
        </w:tc>
        <w:tc>
          <w:tcPr>
            <w:tcW w:w="1347" w:type="dxa"/>
            <w:noWrap/>
            <w:hideMark/>
          </w:tcPr>
          <w:p w:rsidR="00555DE5" w:rsidRPr="00C22C9D" w:rsidRDefault="00555DE5" w:rsidP="00A62AEE">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347" w:type="dxa"/>
            <w:noWrap/>
            <w:hideMark/>
          </w:tcPr>
          <w:p w:rsidR="00555DE5" w:rsidRPr="00C22C9D" w:rsidRDefault="00555DE5" w:rsidP="00A62AEE">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1224" w:type="dxa"/>
            <w:noWrap/>
            <w:hideMark/>
          </w:tcPr>
          <w:p w:rsidR="00555DE5" w:rsidRPr="00C22C9D" w:rsidRDefault="00555DE5" w:rsidP="00A62AEE">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C22C9D">
              <w:rPr>
                <w:rFonts w:ascii="Times New Roman" w:eastAsia="Times New Roman" w:hAnsi="Times New Roman" w:cs="Times New Roman"/>
                <w:color w:val="000000"/>
                <w:sz w:val="24"/>
                <w:szCs w:val="24"/>
              </w:rPr>
              <w:t>4</w:t>
            </w:r>
          </w:p>
        </w:tc>
        <w:tc>
          <w:tcPr>
            <w:tcW w:w="1592" w:type="dxa"/>
            <w:noWrap/>
            <w:hideMark/>
          </w:tcPr>
          <w:p w:rsidR="00555DE5" w:rsidRPr="00C22C9D" w:rsidRDefault="00555DE5" w:rsidP="00A62AEE">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647" w:type="dxa"/>
            <w:noWrap/>
            <w:hideMark/>
          </w:tcPr>
          <w:p w:rsidR="00555DE5" w:rsidRPr="00C22C9D" w:rsidRDefault="00555DE5" w:rsidP="00A62AEE">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C22C9D">
              <w:rPr>
                <w:rFonts w:ascii="Times New Roman" w:eastAsia="Times New Roman" w:hAnsi="Times New Roman" w:cs="Times New Roman"/>
                <w:color w:val="000000"/>
                <w:sz w:val="24"/>
                <w:szCs w:val="24"/>
              </w:rPr>
              <w:t>1</w:t>
            </w:r>
          </w:p>
        </w:tc>
      </w:tr>
    </w:tbl>
    <w:p w:rsidR="00D2206A" w:rsidRDefault="00D2206A">
      <w:pPr>
        <w:rPr>
          <w:rFonts w:ascii="Times New Roman" w:hAnsi="Times New Roman" w:cs="Times New Roman"/>
          <w:sz w:val="24"/>
          <w:szCs w:val="24"/>
        </w:rPr>
      </w:pPr>
    </w:p>
    <w:p w:rsidR="00EF52F5" w:rsidRPr="00F457FE" w:rsidRDefault="00D90EF3">
      <w:pPr>
        <w:rPr>
          <w:rFonts w:ascii="Times New Roman" w:hAnsi="Times New Roman" w:cs="Times New Roman"/>
          <w:sz w:val="24"/>
          <w:szCs w:val="24"/>
        </w:rPr>
      </w:pPr>
      <w:r w:rsidRPr="00F457FE">
        <w:rPr>
          <w:rFonts w:ascii="Times New Roman" w:hAnsi="Times New Roman" w:cs="Times New Roman"/>
          <w:sz w:val="24"/>
          <w:szCs w:val="24"/>
        </w:rPr>
        <w:t xml:space="preserve">From table 4 above, Ho division recorded the highest numbers for all the cases within the region with 112 Crashes, 187 vehicles involved in the crashes, 18 persons killed, 58 persons injured and 18 pedestrians knocked down. Tongu division recorded the joint highest persons killed, 18 same as the Ho division. Hohoe division, Kpando division and Ketu division all recorded 7 crashes each in the first half of the year which is least. </w:t>
      </w:r>
      <w:r w:rsidR="00B211F9" w:rsidRPr="00F457FE">
        <w:rPr>
          <w:rFonts w:ascii="Times New Roman" w:hAnsi="Times New Roman" w:cs="Times New Roman"/>
          <w:sz w:val="24"/>
          <w:szCs w:val="24"/>
        </w:rPr>
        <w:t xml:space="preserve"> The Hohoe division recorded no fatalities in the first half of 2022.</w:t>
      </w:r>
    </w:p>
    <w:p w:rsidR="00A26494" w:rsidRPr="00F457FE" w:rsidRDefault="00A26494">
      <w:pPr>
        <w:rPr>
          <w:rFonts w:ascii="Times New Roman" w:hAnsi="Times New Roman" w:cs="Times New Roman"/>
          <w:sz w:val="24"/>
          <w:szCs w:val="24"/>
        </w:rPr>
      </w:pPr>
      <w:r w:rsidRPr="00F457FE">
        <w:rPr>
          <w:rFonts w:ascii="Times New Roman" w:hAnsi="Times New Roman" w:cs="Times New Roman"/>
          <w:sz w:val="24"/>
          <w:szCs w:val="24"/>
        </w:rPr>
        <w:t xml:space="preserve">Table 5: Divisional distribution of crashes </w:t>
      </w:r>
    </w:p>
    <w:tbl>
      <w:tblPr>
        <w:tblW w:w="8875" w:type="dxa"/>
        <w:tblInd w:w="93" w:type="dxa"/>
        <w:tblLook w:val="04A0" w:firstRow="1" w:lastRow="0" w:firstColumn="1" w:lastColumn="0" w:noHBand="0" w:noVBand="1"/>
      </w:tblPr>
      <w:tblGrid>
        <w:gridCol w:w="2034"/>
        <w:gridCol w:w="1190"/>
        <w:gridCol w:w="1270"/>
        <w:gridCol w:w="1679"/>
        <w:gridCol w:w="2702"/>
      </w:tblGrid>
      <w:tr w:rsidR="005533D6" w:rsidRPr="00F457FE" w:rsidTr="00A26494">
        <w:trPr>
          <w:trHeight w:val="248"/>
        </w:trPr>
        <w:tc>
          <w:tcPr>
            <w:tcW w:w="20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533D6" w:rsidRPr="00F457FE" w:rsidRDefault="00A26494" w:rsidP="00A26494">
            <w:pPr>
              <w:spacing w:after="0" w:line="240" w:lineRule="auto"/>
              <w:jc w:val="center"/>
              <w:rPr>
                <w:rFonts w:ascii="Times New Roman" w:eastAsia="Times New Roman" w:hAnsi="Times New Roman" w:cs="Times New Roman"/>
                <w:b/>
                <w:bCs/>
                <w:color w:val="000000"/>
                <w:sz w:val="24"/>
                <w:szCs w:val="24"/>
              </w:rPr>
            </w:pPr>
            <w:r w:rsidRPr="00F457FE">
              <w:rPr>
                <w:rFonts w:ascii="Times New Roman" w:eastAsia="Times New Roman" w:hAnsi="Times New Roman" w:cs="Times New Roman"/>
                <w:b/>
                <w:bCs/>
                <w:color w:val="000000"/>
                <w:sz w:val="24"/>
                <w:szCs w:val="24"/>
              </w:rPr>
              <w:t>DIVIS</w:t>
            </w:r>
            <w:r w:rsidR="005533D6" w:rsidRPr="00F457FE">
              <w:rPr>
                <w:rFonts w:ascii="Times New Roman" w:eastAsia="Times New Roman" w:hAnsi="Times New Roman" w:cs="Times New Roman"/>
                <w:b/>
                <w:bCs/>
                <w:color w:val="000000"/>
                <w:sz w:val="24"/>
                <w:szCs w:val="24"/>
              </w:rPr>
              <w:t>ION</w:t>
            </w:r>
          </w:p>
        </w:tc>
        <w:tc>
          <w:tcPr>
            <w:tcW w:w="1190" w:type="dxa"/>
            <w:tcBorders>
              <w:top w:val="single" w:sz="4" w:space="0" w:color="auto"/>
              <w:left w:val="nil"/>
              <w:bottom w:val="single" w:sz="8" w:space="0" w:color="auto"/>
              <w:right w:val="single" w:sz="8" w:space="0" w:color="auto"/>
            </w:tcBorders>
            <w:shd w:val="clear" w:color="auto" w:fill="auto"/>
            <w:noWrap/>
            <w:vAlign w:val="center"/>
            <w:hideMark/>
          </w:tcPr>
          <w:p w:rsidR="005533D6" w:rsidRPr="00F457FE" w:rsidRDefault="005533D6" w:rsidP="00A26494">
            <w:pPr>
              <w:spacing w:after="0" w:line="240" w:lineRule="auto"/>
              <w:jc w:val="center"/>
              <w:rPr>
                <w:rFonts w:ascii="Times New Roman" w:eastAsia="Times New Roman" w:hAnsi="Times New Roman" w:cs="Times New Roman"/>
                <w:b/>
                <w:bCs/>
                <w:color w:val="000000"/>
                <w:sz w:val="24"/>
                <w:szCs w:val="24"/>
              </w:rPr>
            </w:pPr>
            <w:r w:rsidRPr="00F457FE">
              <w:rPr>
                <w:rFonts w:ascii="Times New Roman" w:eastAsia="Times New Roman" w:hAnsi="Times New Roman" w:cs="Times New Roman"/>
                <w:b/>
                <w:bCs/>
                <w:color w:val="000000"/>
                <w:sz w:val="24"/>
                <w:szCs w:val="24"/>
              </w:rPr>
              <w:t>2022</w:t>
            </w:r>
          </w:p>
        </w:tc>
        <w:tc>
          <w:tcPr>
            <w:tcW w:w="1270" w:type="dxa"/>
            <w:tcBorders>
              <w:top w:val="single" w:sz="4" w:space="0" w:color="auto"/>
              <w:left w:val="nil"/>
              <w:bottom w:val="single" w:sz="8" w:space="0" w:color="auto"/>
              <w:right w:val="single" w:sz="4" w:space="0" w:color="auto"/>
            </w:tcBorders>
            <w:shd w:val="clear" w:color="auto" w:fill="auto"/>
            <w:noWrap/>
            <w:vAlign w:val="center"/>
            <w:hideMark/>
          </w:tcPr>
          <w:p w:rsidR="005533D6" w:rsidRPr="00F457FE" w:rsidRDefault="005533D6" w:rsidP="00A26494">
            <w:pPr>
              <w:spacing w:after="0" w:line="240" w:lineRule="auto"/>
              <w:jc w:val="center"/>
              <w:rPr>
                <w:rFonts w:ascii="Times New Roman" w:eastAsia="Times New Roman" w:hAnsi="Times New Roman" w:cs="Times New Roman"/>
                <w:b/>
                <w:bCs/>
                <w:color w:val="000000"/>
                <w:sz w:val="24"/>
                <w:szCs w:val="24"/>
              </w:rPr>
            </w:pPr>
          </w:p>
        </w:tc>
        <w:tc>
          <w:tcPr>
            <w:tcW w:w="1679" w:type="dxa"/>
            <w:tcBorders>
              <w:top w:val="single" w:sz="4" w:space="0" w:color="auto"/>
              <w:left w:val="single" w:sz="4" w:space="0" w:color="auto"/>
              <w:bottom w:val="single" w:sz="8" w:space="0" w:color="auto"/>
              <w:right w:val="single" w:sz="8" w:space="0" w:color="auto"/>
            </w:tcBorders>
            <w:shd w:val="clear" w:color="auto" w:fill="auto"/>
            <w:vAlign w:val="center"/>
          </w:tcPr>
          <w:p w:rsidR="005533D6" w:rsidRPr="00F457FE" w:rsidRDefault="005533D6" w:rsidP="00A26494">
            <w:pPr>
              <w:spacing w:after="0" w:line="240" w:lineRule="auto"/>
              <w:jc w:val="center"/>
              <w:rPr>
                <w:rFonts w:ascii="Times New Roman" w:eastAsia="Times New Roman" w:hAnsi="Times New Roman" w:cs="Times New Roman"/>
                <w:b/>
                <w:bCs/>
                <w:color w:val="000000"/>
                <w:sz w:val="24"/>
                <w:szCs w:val="24"/>
              </w:rPr>
            </w:pPr>
            <w:r w:rsidRPr="00F457FE">
              <w:rPr>
                <w:rFonts w:ascii="Times New Roman" w:eastAsia="Times New Roman" w:hAnsi="Times New Roman" w:cs="Times New Roman"/>
                <w:b/>
                <w:bCs/>
                <w:color w:val="000000"/>
                <w:sz w:val="24"/>
                <w:szCs w:val="24"/>
              </w:rPr>
              <w:t>2021</w:t>
            </w:r>
          </w:p>
        </w:tc>
        <w:tc>
          <w:tcPr>
            <w:tcW w:w="2702" w:type="dxa"/>
            <w:tcBorders>
              <w:top w:val="single" w:sz="4" w:space="0" w:color="auto"/>
              <w:left w:val="nil"/>
              <w:bottom w:val="single" w:sz="8" w:space="0" w:color="auto"/>
              <w:right w:val="single" w:sz="8" w:space="0" w:color="auto"/>
            </w:tcBorders>
            <w:shd w:val="clear" w:color="auto" w:fill="auto"/>
            <w:noWrap/>
            <w:vAlign w:val="center"/>
            <w:hideMark/>
          </w:tcPr>
          <w:p w:rsidR="005533D6" w:rsidRPr="00F457FE" w:rsidRDefault="005533D6" w:rsidP="00A26494">
            <w:pPr>
              <w:spacing w:after="0" w:line="240" w:lineRule="auto"/>
              <w:jc w:val="center"/>
              <w:rPr>
                <w:rFonts w:ascii="Times New Roman" w:eastAsia="Times New Roman" w:hAnsi="Times New Roman" w:cs="Times New Roman"/>
                <w:b/>
                <w:bCs/>
                <w:color w:val="000000"/>
                <w:sz w:val="24"/>
                <w:szCs w:val="24"/>
              </w:rPr>
            </w:pPr>
            <w:r w:rsidRPr="00F457FE">
              <w:rPr>
                <w:rFonts w:ascii="Times New Roman" w:eastAsia="Times New Roman" w:hAnsi="Times New Roman" w:cs="Times New Roman"/>
                <w:b/>
                <w:bCs/>
                <w:color w:val="000000"/>
                <w:sz w:val="24"/>
                <w:szCs w:val="24"/>
              </w:rPr>
              <w:t>% change                                                                 compared to 2021</w:t>
            </w:r>
          </w:p>
        </w:tc>
      </w:tr>
      <w:tr w:rsidR="005533D6" w:rsidRPr="00F457FE" w:rsidTr="00A26494">
        <w:trPr>
          <w:trHeight w:val="431"/>
        </w:trPr>
        <w:tc>
          <w:tcPr>
            <w:tcW w:w="2034" w:type="dxa"/>
            <w:tcBorders>
              <w:top w:val="nil"/>
              <w:left w:val="single" w:sz="8" w:space="0" w:color="auto"/>
              <w:bottom w:val="single" w:sz="8" w:space="0" w:color="auto"/>
              <w:right w:val="single" w:sz="8" w:space="0" w:color="auto"/>
            </w:tcBorders>
            <w:shd w:val="clear" w:color="auto" w:fill="auto"/>
            <w:noWrap/>
            <w:vAlign w:val="center"/>
            <w:hideMark/>
          </w:tcPr>
          <w:p w:rsidR="005533D6" w:rsidRPr="00F457FE" w:rsidRDefault="005533D6" w:rsidP="00A26494">
            <w:pPr>
              <w:spacing w:after="0" w:line="240" w:lineRule="auto"/>
              <w:jc w:val="center"/>
              <w:rPr>
                <w:rFonts w:ascii="Times New Roman" w:eastAsia="Times New Roman" w:hAnsi="Times New Roman" w:cs="Times New Roman"/>
                <w:color w:val="000000"/>
                <w:sz w:val="24"/>
                <w:szCs w:val="24"/>
              </w:rPr>
            </w:pPr>
            <w:r w:rsidRPr="00F457FE">
              <w:rPr>
                <w:rFonts w:ascii="Times New Roman" w:eastAsia="Times New Roman" w:hAnsi="Times New Roman" w:cs="Times New Roman"/>
                <w:color w:val="000000"/>
                <w:sz w:val="24"/>
                <w:szCs w:val="24"/>
              </w:rPr>
              <w:t>Ho</w:t>
            </w:r>
          </w:p>
        </w:tc>
        <w:tc>
          <w:tcPr>
            <w:tcW w:w="1190" w:type="dxa"/>
            <w:tcBorders>
              <w:top w:val="nil"/>
              <w:left w:val="nil"/>
              <w:bottom w:val="single" w:sz="8" w:space="0" w:color="auto"/>
              <w:right w:val="single" w:sz="8" w:space="0" w:color="auto"/>
            </w:tcBorders>
            <w:shd w:val="clear" w:color="auto" w:fill="auto"/>
            <w:noWrap/>
            <w:vAlign w:val="center"/>
            <w:hideMark/>
          </w:tcPr>
          <w:p w:rsidR="005533D6" w:rsidRPr="00F457FE" w:rsidRDefault="005533D6" w:rsidP="00A26494">
            <w:pPr>
              <w:spacing w:after="0" w:line="240" w:lineRule="auto"/>
              <w:jc w:val="center"/>
              <w:rPr>
                <w:rFonts w:ascii="Times New Roman" w:eastAsia="Times New Roman" w:hAnsi="Times New Roman" w:cs="Times New Roman"/>
                <w:color w:val="000000"/>
                <w:sz w:val="24"/>
                <w:szCs w:val="24"/>
              </w:rPr>
            </w:pPr>
            <w:r w:rsidRPr="00F457FE">
              <w:rPr>
                <w:rFonts w:ascii="Times New Roman" w:eastAsia="Times New Roman" w:hAnsi="Times New Roman" w:cs="Times New Roman"/>
                <w:color w:val="000000"/>
                <w:sz w:val="24"/>
                <w:szCs w:val="24"/>
              </w:rPr>
              <w:t>112</w:t>
            </w:r>
          </w:p>
        </w:tc>
        <w:tc>
          <w:tcPr>
            <w:tcW w:w="1270" w:type="dxa"/>
            <w:tcBorders>
              <w:top w:val="nil"/>
              <w:left w:val="nil"/>
              <w:bottom w:val="single" w:sz="8" w:space="0" w:color="auto"/>
              <w:right w:val="single" w:sz="4" w:space="0" w:color="auto"/>
            </w:tcBorders>
            <w:shd w:val="clear" w:color="auto" w:fill="auto"/>
            <w:noWrap/>
            <w:vAlign w:val="center"/>
            <w:hideMark/>
          </w:tcPr>
          <w:p w:rsidR="005533D6" w:rsidRPr="00F457FE" w:rsidRDefault="005533D6" w:rsidP="00A26494">
            <w:pPr>
              <w:jc w:val="center"/>
              <w:rPr>
                <w:rFonts w:ascii="Times New Roman" w:hAnsi="Times New Roman" w:cs="Times New Roman"/>
                <w:color w:val="000000"/>
                <w:sz w:val="24"/>
                <w:szCs w:val="24"/>
              </w:rPr>
            </w:pPr>
            <w:r w:rsidRPr="00F457FE">
              <w:rPr>
                <w:rFonts w:ascii="Times New Roman" w:hAnsi="Times New Roman" w:cs="Times New Roman"/>
                <w:color w:val="000000"/>
                <w:sz w:val="24"/>
                <w:szCs w:val="24"/>
              </w:rPr>
              <w:t>58.0</w:t>
            </w:r>
          </w:p>
        </w:tc>
        <w:tc>
          <w:tcPr>
            <w:tcW w:w="1679" w:type="dxa"/>
            <w:tcBorders>
              <w:top w:val="nil"/>
              <w:left w:val="single" w:sz="4" w:space="0" w:color="auto"/>
              <w:bottom w:val="single" w:sz="8" w:space="0" w:color="auto"/>
              <w:right w:val="single" w:sz="8" w:space="0" w:color="auto"/>
            </w:tcBorders>
            <w:shd w:val="clear" w:color="auto" w:fill="auto"/>
            <w:vAlign w:val="center"/>
          </w:tcPr>
          <w:p w:rsidR="005533D6" w:rsidRPr="00F457FE" w:rsidRDefault="005533D6" w:rsidP="00A26494">
            <w:pPr>
              <w:spacing w:after="0" w:line="240" w:lineRule="auto"/>
              <w:jc w:val="center"/>
              <w:rPr>
                <w:rFonts w:ascii="Times New Roman" w:eastAsia="Times New Roman" w:hAnsi="Times New Roman" w:cs="Times New Roman"/>
                <w:color w:val="000000"/>
                <w:sz w:val="24"/>
                <w:szCs w:val="24"/>
              </w:rPr>
            </w:pPr>
            <w:r w:rsidRPr="00F457FE">
              <w:rPr>
                <w:rFonts w:ascii="Times New Roman" w:eastAsia="Times New Roman" w:hAnsi="Times New Roman" w:cs="Times New Roman"/>
                <w:color w:val="000000"/>
                <w:sz w:val="24"/>
                <w:szCs w:val="24"/>
              </w:rPr>
              <w:t>132</w:t>
            </w:r>
          </w:p>
        </w:tc>
        <w:tc>
          <w:tcPr>
            <w:tcW w:w="2702" w:type="dxa"/>
            <w:tcBorders>
              <w:top w:val="nil"/>
              <w:left w:val="nil"/>
              <w:bottom w:val="single" w:sz="8" w:space="0" w:color="auto"/>
              <w:right w:val="single" w:sz="8" w:space="0" w:color="auto"/>
            </w:tcBorders>
            <w:shd w:val="clear" w:color="auto" w:fill="auto"/>
            <w:noWrap/>
            <w:vAlign w:val="center"/>
            <w:hideMark/>
          </w:tcPr>
          <w:p w:rsidR="005533D6" w:rsidRPr="00F457FE" w:rsidRDefault="005533D6" w:rsidP="00A26494">
            <w:pPr>
              <w:spacing w:after="0" w:line="240" w:lineRule="auto"/>
              <w:jc w:val="center"/>
              <w:rPr>
                <w:rFonts w:ascii="Times New Roman" w:eastAsia="Times New Roman" w:hAnsi="Times New Roman" w:cs="Times New Roman"/>
                <w:color w:val="000000"/>
                <w:sz w:val="24"/>
                <w:szCs w:val="24"/>
              </w:rPr>
            </w:pPr>
            <w:r w:rsidRPr="00F457FE">
              <w:rPr>
                <w:rFonts w:ascii="Times New Roman" w:eastAsia="Times New Roman" w:hAnsi="Times New Roman" w:cs="Times New Roman"/>
                <w:color w:val="000000"/>
                <w:sz w:val="24"/>
                <w:szCs w:val="24"/>
              </w:rPr>
              <w:t>-15.15</w:t>
            </w:r>
          </w:p>
        </w:tc>
      </w:tr>
      <w:tr w:rsidR="005533D6" w:rsidRPr="00F457FE" w:rsidTr="00A26494">
        <w:trPr>
          <w:trHeight w:val="255"/>
        </w:trPr>
        <w:tc>
          <w:tcPr>
            <w:tcW w:w="2034" w:type="dxa"/>
            <w:tcBorders>
              <w:top w:val="nil"/>
              <w:left w:val="single" w:sz="8" w:space="0" w:color="auto"/>
              <w:bottom w:val="single" w:sz="8" w:space="0" w:color="auto"/>
              <w:right w:val="single" w:sz="8" w:space="0" w:color="auto"/>
            </w:tcBorders>
            <w:shd w:val="clear" w:color="auto" w:fill="auto"/>
            <w:noWrap/>
            <w:vAlign w:val="center"/>
            <w:hideMark/>
          </w:tcPr>
          <w:p w:rsidR="005533D6" w:rsidRPr="00F457FE" w:rsidRDefault="005533D6" w:rsidP="00A26494">
            <w:pPr>
              <w:spacing w:after="0" w:line="240" w:lineRule="auto"/>
              <w:jc w:val="center"/>
              <w:rPr>
                <w:rFonts w:ascii="Times New Roman" w:eastAsia="Times New Roman" w:hAnsi="Times New Roman" w:cs="Times New Roman"/>
                <w:color w:val="000000"/>
                <w:sz w:val="24"/>
                <w:szCs w:val="24"/>
              </w:rPr>
            </w:pPr>
            <w:r w:rsidRPr="00F457FE">
              <w:rPr>
                <w:rFonts w:ascii="Times New Roman" w:eastAsia="Times New Roman" w:hAnsi="Times New Roman" w:cs="Times New Roman"/>
                <w:color w:val="000000"/>
                <w:sz w:val="24"/>
                <w:szCs w:val="24"/>
              </w:rPr>
              <w:t>Keta</w:t>
            </w:r>
          </w:p>
        </w:tc>
        <w:tc>
          <w:tcPr>
            <w:tcW w:w="1190" w:type="dxa"/>
            <w:tcBorders>
              <w:top w:val="nil"/>
              <w:left w:val="nil"/>
              <w:bottom w:val="single" w:sz="8" w:space="0" w:color="auto"/>
              <w:right w:val="single" w:sz="8" w:space="0" w:color="auto"/>
            </w:tcBorders>
            <w:shd w:val="clear" w:color="auto" w:fill="auto"/>
            <w:noWrap/>
            <w:vAlign w:val="center"/>
            <w:hideMark/>
          </w:tcPr>
          <w:p w:rsidR="005533D6" w:rsidRPr="00F457FE" w:rsidRDefault="005533D6" w:rsidP="00A26494">
            <w:pPr>
              <w:spacing w:after="0" w:line="240" w:lineRule="auto"/>
              <w:jc w:val="center"/>
              <w:rPr>
                <w:rFonts w:ascii="Times New Roman" w:eastAsia="Times New Roman" w:hAnsi="Times New Roman" w:cs="Times New Roman"/>
                <w:color w:val="000000"/>
                <w:sz w:val="24"/>
                <w:szCs w:val="24"/>
              </w:rPr>
            </w:pPr>
            <w:r w:rsidRPr="00F457FE">
              <w:rPr>
                <w:rFonts w:ascii="Times New Roman" w:eastAsia="Times New Roman" w:hAnsi="Times New Roman" w:cs="Times New Roman"/>
                <w:color w:val="000000"/>
                <w:sz w:val="24"/>
                <w:szCs w:val="24"/>
              </w:rPr>
              <w:t>31</w:t>
            </w:r>
          </w:p>
        </w:tc>
        <w:tc>
          <w:tcPr>
            <w:tcW w:w="1270" w:type="dxa"/>
            <w:tcBorders>
              <w:top w:val="nil"/>
              <w:left w:val="nil"/>
              <w:bottom w:val="single" w:sz="8" w:space="0" w:color="auto"/>
              <w:right w:val="single" w:sz="4" w:space="0" w:color="auto"/>
            </w:tcBorders>
            <w:shd w:val="clear" w:color="auto" w:fill="auto"/>
            <w:noWrap/>
            <w:vAlign w:val="center"/>
            <w:hideMark/>
          </w:tcPr>
          <w:p w:rsidR="005533D6" w:rsidRPr="00F457FE" w:rsidRDefault="005533D6" w:rsidP="00A26494">
            <w:pPr>
              <w:jc w:val="center"/>
              <w:rPr>
                <w:rFonts w:ascii="Times New Roman" w:hAnsi="Times New Roman" w:cs="Times New Roman"/>
                <w:color w:val="000000"/>
                <w:sz w:val="24"/>
                <w:szCs w:val="24"/>
              </w:rPr>
            </w:pPr>
            <w:r w:rsidRPr="00F457FE">
              <w:rPr>
                <w:rFonts w:ascii="Times New Roman" w:hAnsi="Times New Roman" w:cs="Times New Roman"/>
                <w:color w:val="000000"/>
                <w:sz w:val="24"/>
                <w:szCs w:val="24"/>
              </w:rPr>
              <w:t>16.1</w:t>
            </w:r>
          </w:p>
        </w:tc>
        <w:tc>
          <w:tcPr>
            <w:tcW w:w="1679" w:type="dxa"/>
            <w:tcBorders>
              <w:top w:val="nil"/>
              <w:left w:val="single" w:sz="4" w:space="0" w:color="auto"/>
              <w:bottom w:val="single" w:sz="8" w:space="0" w:color="auto"/>
              <w:right w:val="single" w:sz="8" w:space="0" w:color="auto"/>
            </w:tcBorders>
            <w:shd w:val="clear" w:color="auto" w:fill="auto"/>
            <w:vAlign w:val="center"/>
          </w:tcPr>
          <w:p w:rsidR="005533D6" w:rsidRPr="00F457FE" w:rsidRDefault="005533D6" w:rsidP="00A26494">
            <w:pPr>
              <w:spacing w:after="0" w:line="240" w:lineRule="auto"/>
              <w:jc w:val="center"/>
              <w:rPr>
                <w:rFonts w:ascii="Times New Roman" w:eastAsia="Times New Roman" w:hAnsi="Times New Roman" w:cs="Times New Roman"/>
                <w:color w:val="000000"/>
                <w:sz w:val="24"/>
                <w:szCs w:val="24"/>
              </w:rPr>
            </w:pPr>
            <w:r w:rsidRPr="00F457FE">
              <w:rPr>
                <w:rFonts w:ascii="Times New Roman" w:eastAsia="Times New Roman" w:hAnsi="Times New Roman" w:cs="Times New Roman"/>
                <w:color w:val="000000"/>
                <w:sz w:val="24"/>
                <w:szCs w:val="24"/>
              </w:rPr>
              <w:t>35</w:t>
            </w:r>
          </w:p>
        </w:tc>
        <w:tc>
          <w:tcPr>
            <w:tcW w:w="2702" w:type="dxa"/>
            <w:tcBorders>
              <w:top w:val="nil"/>
              <w:left w:val="nil"/>
              <w:bottom w:val="single" w:sz="8" w:space="0" w:color="auto"/>
              <w:right w:val="single" w:sz="8" w:space="0" w:color="auto"/>
            </w:tcBorders>
            <w:shd w:val="clear" w:color="auto" w:fill="auto"/>
            <w:noWrap/>
            <w:vAlign w:val="center"/>
            <w:hideMark/>
          </w:tcPr>
          <w:p w:rsidR="005533D6" w:rsidRPr="00F457FE" w:rsidRDefault="005533D6" w:rsidP="00A26494">
            <w:pPr>
              <w:spacing w:after="0" w:line="240" w:lineRule="auto"/>
              <w:jc w:val="center"/>
              <w:rPr>
                <w:rFonts w:ascii="Times New Roman" w:eastAsia="Times New Roman" w:hAnsi="Times New Roman" w:cs="Times New Roman"/>
                <w:color w:val="000000"/>
                <w:sz w:val="24"/>
                <w:szCs w:val="24"/>
              </w:rPr>
            </w:pPr>
            <w:r w:rsidRPr="00F457FE">
              <w:rPr>
                <w:rFonts w:ascii="Times New Roman" w:eastAsia="Times New Roman" w:hAnsi="Times New Roman" w:cs="Times New Roman"/>
                <w:color w:val="000000"/>
                <w:sz w:val="24"/>
                <w:szCs w:val="24"/>
              </w:rPr>
              <w:t>-11.43</w:t>
            </w:r>
          </w:p>
        </w:tc>
      </w:tr>
      <w:tr w:rsidR="005533D6" w:rsidRPr="00F457FE" w:rsidTr="00A26494">
        <w:trPr>
          <w:trHeight w:val="255"/>
        </w:trPr>
        <w:tc>
          <w:tcPr>
            <w:tcW w:w="2034" w:type="dxa"/>
            <w:tcBorders>
              <w:top w:val="nil"/>
              <w:left w:val="single" w:sz="8" w:space="0" w:color="auto"/>
              <w:bottom w:val="single" w:sz="8" w:space="0" w:color="auto"/>
              <w:right w:val="single" w:sz="8" w:space="0" w:color="auto"/>
            </w:tcBorders>
            <w:shd w:val="clear" w:color="auto" w:fill="auto"/>
            <w:noWrap/>
            <w:vAlign w:val="center"/>
            <w:hideMark/>
          </w:tcPr>
          <w:p w:rsidR="005533D6" w:rsidRPr="00F457FE" w:rsidRDefault="005533D6" w:rsidP="00A26494">
            <w:pPr>
              <w:spacing w:after="0" w:line="240" w:lineRule="auto"/>
              <w:jc w:val="center"/>
              <w:rPr>
                <w:rFonts w:ascii="Times New Roman" w:eastAsia="Times New Roman" w:hAnsi="Times New Roman" w:cs="Times New Roman"/>
                <w:color w:val="000000"/>
                <w:sz w:val="24"/>
                <w:szCs w:val="24"/>
              </w:rPr>
            </w:pPr>
            <w:r w:rsidRPr="00F457FE">
              <w:rPr>
                <w:rFonts w:ascii="Times New Roman" w:eastAsia="Times New Roman" w:hAnsi="Times New Roman" w:cs="Times New Roman"/>
                <w:color w:val="000000"/>
                <w:sz w:val="24"/>
                <w:szCs w:val="24"/>
              </w:rPr>
              <w:lastRenderedPageBreak/>
              <w:t>Tongu</w:t>
            </w:r>
          </w:p>
        </w:tc>
        <w:tc>
          <w:tcPr>
            <w:tcW w:w="1190" w:type="dxa"/>
            <w:tcBorders>
              <w:top w:val="nil"/>
              <w:left w:val="nil"/>
              <w:bottom w:val="single" w:sz="8" w:space="0" w:color="auto"/>
              <w:right w:val="single" w:sz="8" w:space="0" w:color="auto"/>
            </w:tcBorders>
            <w:shd w:val="clear" w:color="auto" w:fill="auto"/>
            <w:noWrap/>
            <w:vAlign w:val="center"/>
            <w:hideMark/>
          </w:tcPr>
          <w:p w:rsidR="005533D6" w:rsidRPr="00F457FE" w:rsidRDefault="005533D6" w:rsidP="00A26494">
            <w:pPr>
              <w:spacing w:after="0" w:line="240" w:lineRule="auto"/>
              <w:jc w:val="center"/>
              <w:rPr>
                <w:rFonts w:ascii="Times New Roman" w:eastAsia="Times New Roman" w:hAnsi="Times New Roman" w:cs="Times New Roman"/>
                <w:color w:val="000000"/>
                <w:sz w:val="24"/>
                <w:szCs w:val="24"/>
              </w:rPr>
            </w:pPr>
            <w:r w:rsidRPr="00F457FE">
              <w:rPr>
                <w:rFonts w:ascii="Times New Roman" w:eastAsia="Times New Roman" w:hAnsi="Times New Roman" w:cs="Times New Roman"/>
                <w:color w:val="000000"/>
                <w:sz w:val="24"/>
                <w:szCs w:val="24"/>
              </w:rPr>
              <w:t>29</w:t>
            </w:r>
          </w:p>
        </w:tc>
        <w:tc>
          <w:tcPr>
            <w:tcW w:w="1270" w:type="dxa"/>
            <w:tcBorders>
              <w:top w:val="nil"/>
              <w:left w:val="nil"/>
              <w:bottom w:val="single" w:sz="8" w:space="0" w:color="auto"/>
              <w:right w:val="single" w:sz="4" w:space="0" w:color="auto"/>
            </w:tcBorders>
            <w:shd w:val="clear" w:color="auto" w:fill="auto"/>
            <w:noWrap/>
            <w:vAlign w:val="center"/>
            <w:hideMark/>
          </w:tcPr>
          <w:p w:rsidR="005533D6" w:rsidRPr="00F457FE" w:rsidRDefault="005533D6" w:rsidP="00A26494">
            <w:pPr>
              <w:jc w:val="center"/>
              <w:rPr>
                <w:rFonts w:ascii="Times New Roman" w:hAnsi="Times New Roman" w:cs="Times New Roman"/>
                <w:color w:val="000000"/>
                <w:sz w:val="24"/>
                <w:szCs w:val="24"/>
              </w:rPr>
            </w:pPr>
            <w:r w:rsidRPr="00F457FE">
              <w:rPr>
                <w:rFonts w:ascii="Times New Roman" w:hAnsi="Times New Roman" w:cs="Times New Roman"/>
                <w:color w:val="000000"/>
                <w:sz w:val="24"/>
                <w:szCs w:val="24"/>
              </w:rPr>
              <w:t>15.0</w:t>
            </w:r>
          </w:p>
        </w:tc>
        <w:tc>
          <w:tcPr>
            <w:tcW w:w="1679" w:type="dxa"/>
            <w:tcBorders>
              <w:top w:val="nil"/>
              <w:left w:val="single" w:sz="4" w:space="0" w:color="auto"/>
              <w:bottom w:val="single" w:sz="8" w:space="0" w:color="auto"/>
              <w:right w:val="single" w:sz="8" w:space="0" w:color="auto"/>
            </w:tcBorders>
            <w:shd w:val="clear" w:color="auto" w:fill="auto"/>
            <w:vAlign w:val="center"/>
          </w:tcPr>
          <w:p w:rsidR="005533D6" w:rsidRPr="00F457FE" w:rsidRDefault="005533D6" w:rsidP="00A26494">
            <w:pPr>
              <w:spacing w:after="0" w:line="240" w:lineRule="auto"/>
              <w:jc w:val="center"/>
              <w:rPr>
                <w:rFonts w:ascii="Times New Roman" w:eastAsia="Times New Roman" w:hAnsi="Times New Roman" w:cs="Times New Roman"/>
                <w:color w:val="000000"/>
                <w:sz w:val="24"/>
                <w:szCs w:val="24"/>
              </w:rPr>
            </w:pPr>
            <w:r w:rsidRPr="00F457FE">
              <w:rPr>
                <w:rFonts w:ascii="Times New Roman" w:eastAsia="Times New Roman" w:hAnsi="Times New Roman" w:cs="Times New Roman"/>
                <w:color w:val="000000"/>
                <w:sz w:val="24"/>
                <w:szCs w:val="24"/>
              </w:rPr>
              <w:t>51</w:t>
            </w:r>
          </w:p>
        </w:tc>
        <w:tc>
          <w:tcPr>
            <w:tcW w:w="2702" w:type="dxa"/>
            <w:tcBorders>
              <w:top w:val="nil"/>
              <w:left w:val="nil"/>
              <w:bottom w:val="single" w:sz="8" w:space="0" w:color="auto"/>
              <w:right w:val="single" w:sz="8" w:space="0" w:color="auto"/>
            </w:tcBorders>
            <w:shd w:val="clear" w:color="auto" w:fill="auto"/>
            <w:noWrap/>
            <w:vAlign w:val="center"/>
            <w:hideMark/>
          </w:tcPr>
          <w:p w:rsidR="005533D6" w:rsidRPr="00F457FE" w:rsidRDefault="005533D6" w:rsidP="00A26494">
            <w:pPr>
              <w:spacing w:after="0" w:line="240" w:lineRule="auto"/>
              <w:jc w:val="center"/>
              <w:rPr>
                <w:rFonts w:ascii="Times New Roman" w:eastAsia="Times New Roman" w:hAnsi="Times New Roman" w:cs="Times New Roman"/>
                <w:color w:val="000000"/>
                <w:sz w:val="24"/>
                <w:szCs w:val="24"/>
              </w:rPr>
            </w:pPr>
            <w:r w:rsidRPr="00F457FE">
              <w:rPr>
                <w:rFonts w:ascii="Times New Roman" w:eastAsia="Times New Roman" w:hAnsi="Times New Roman" w:cs="Times New Roman"/>
                <w:color w:val="000000"/>
                <w:sz w:val="24"/>
                <w:szCs w:val="24"/>
              </w:rPr>
              <w:t>-43.14</w:t>
            </w:r>
          </w:p>
        </w:tc>
      </w:tr>
      <w:tr w:rsidR="005533D6" w:rsidRPr="00F457FE" w:rsidTr="00A26494">
        <w:trPr>
          <w:trHeight w:val="255"/>
        </w:trPr>
        <w:tc>
          <w:tcPr>
            <w:tcW w:w="2034" w:type="dxa"/>
            <w:tcBorders>
              <w:top w:val="nil"/>
              <w:left w:val="single" w:sz="8" w:space="0" w:color="auto"/>
              <w:bottom w:val="single" w:sz="8" w:space="0" w:color="auto"/>
              <w:right w:val="single" w:sz="8" w:space="0" w:color="auto"/>
            </w:tcBorders>
            <w:shd w:val="clear" w:color="auto" w:fill="auto"/>
            <w:noWrap/>
            <w:vAlign w:val="center"/>
            <w:hideMark/>
          </w:tcPr>
          <w:p w:rsidR="005533D6" w:rsidRPr="00F457FE" w:rsidRDefault="005533D6" w:rsidP="00A26494">
            <w:pPr>
              <w:spacing w:after="0" w:line="240" w:lineRule="auto"/>
              <w:jc w:val="center"/>
              <w:rPr>
                <w:rFonts w:ascii="Times New Roman" w:eastAsia="Times New Roman" w:hAnsi="Times New Roman" w:cs="Times New Roman"/>
                <w:color w:val="000000"/>
                <w:sz w:val="24"/>
                <w:szCs w:val="24"/>
              </w:rPr>
            </w:pPr>
            <w:r w:rsidRPr="00F457FE">
              <w:rPr>
                <w:rFonts w:ascii="Times New Roman" w:eastAsia="Times New Roman" w:hAnsi="Times New Roman" w:cs="Times New Roman"/>
                <w:color w:val="000000"/>
                <w:sz w:val="24"/>
                <w:szCs w:val="24"/>
              </w:rPr>
              <w:t>Hohoe</w:t>
            </w:r>
          </w:p>
        </w:tc>
        <w:tc>
          <w:tcPr>
            <w:tcW w:w="1190" w:type="dxa"/>
            <w:tcBorders>
              <w:top w:val="nil"/>
              <w:left w:val="nil"/>
              <w:bottom w:val="single" w:sz="8" w:space="0" w:color="auto"/>
              <w:right w:val="single" w:sz="8" w:space="0" w:color="auto"/>
            </w:tcBorders>
            <w:shd w:val="clear" w:color="auto" w:fill="auto"/>
            <w:noWrap/>
            <w:vAlign w:val="center"/>
            <w:hideMark/>
          </w:tcPr>
          <w:p w:rsidR="005533D6" w:rsidRPr="00F457FE" w:rsidRDefault="005533D6" w:rsidP="00A26494">
            <w:pPr>
              <w:spacing w:after="0" w:line="240" w:lineRule="auto"/>
              <w:jc w:val="center"/>
              <w:rPr>
                <w:rFonts w:ascii="Times New Roman" w:eastAsia="Times New Roman" w:hAnsi="Times New Roman" w:cs="Times New Roman"/>
                <w:color w:val="000000"/>
                <w:sz w:val="24"/>
                <w:szCs w:val="24"/>
              </w:rPr>
            </w:pPr>
            <w:r w:rsidRPr="00F457FE">
              <w:rPr>
                <w:rFonts w:ascii="Times New Roman" w:eastAsia="Times New Roman" w:hAnsi="Times New Roman" w:cs="Times New Roman"/>
                <w:color w:val="000000"/>
                <w:sz w:val="24"/>
                <w:szCs w:val="24"/>
              </w:rPr>
              <w:t>7</w:t>
            </w:r>
          </w:p>
        </w:tc>
        <w:tc>
          <w:tcPr>
            <w:tcW w:w="1270" w:type="dxa"/>
            <w:tcBorders>
              <w:top w:val="nil"/>
              <w:left w:val="nil"/>
              <w:bottom w:val="single" w:sz="8" w:space="0" w:color="auto"/>
              <w:right w:val="single" w:sz="4" w:space="0" w:color="auto"/>
            </w:tcBorders>
            <w:shd w:val="clear" w:color="auto" w:fill="auto"/>
            <w:noWrap/>
            <w:vAlign w:val="center"/>
            <w:hideMark/>
          </w:tcPr>
          <w:p w:rsidR="005533D6" w:rsidRPr="00F457FE" w:rsidRDefault="005533D6" w:rsidP="00A26494">
            <w:pPr>
              <w:jc w:val="center"/>
              <w:rPr>
                <w:rFonts w:ascii="Times New Roman" w:hAnsi="Times New Roman" w:cs="Times New Roman"/>
                <w:color w:val="000000"/>
                <w:sz w:val="24"/>
                <w:szCs w:val="24"/>
              </w:rPr>
            </w:pPr>
            <w:r w:rsidRPr="00F457FE">
              <w:rPr>
                <w:rFonts w:ascii="Times New Roman" w:hAnsi="Times New Roman" w:cs="Times New Roman"/>
                <w:color w:val="000000"/>
                <w:sz w:val="24"/>
                <w:szCs w:val="24"/>
              </w:rPr>
              <w:t>3.6</w:t>
            </w:r>
          </w:p>
        </w:tc>
        <w:tc>
          <w:tcPr>
            <w:tcW w:w="1679" w:type="dxa"/>
            <w:tcBorders>
              <w:top w:val="nil"/>
              <w:left w:val="single" w:sz="4" w:space="0" w:color="auto"/>
              <w:bottom w:val="single" w:sz="8" w:space="0" w:color="auto"/>
              <w:right w:val="single" w:sz="8" w:space="0" w:color="auto"/>
            </w:tcBorders>
            <w:shd w:val="clear" w:color="auto" w:fill="auto"/>
            <w:vAlign w:val="center"/>
          </w:tcPr>
          <w:p w:rsidR="005533D6" w:rsidRPr="00F457FE" w:rsidRDefault="005533D6" w:rsidP="00A26494">
            <w:pPr>
              <w:spacing w:after="0" w:line="240" w:lineRule="auto"/>
              <w:jc w:val="center"/>
              <w:rPr>
                <w:rFonts w:ascii="Times New Roman" w:eastAsia="Times New Roman" w:hAnsi="Times New Roman" w:cs="Times New Roman"/>
                <w:color w:val="000000"/>
                <w:sz w:val="24"/>
                <w:szCs w:val="24"/>
              </w:rPr>
            </w:pPr>
            <w:r w:rsidRPr="00F457FE">
              <w:rPr>
                <w:rFonts w:ascii="Times New Roman" w:eastAsia="Times New Roman" w:hAnsi="Times New Roman" w:cs="Times New Roman"/>
                <w:color w:val="000000"/>
                <w:sz w:val="24"/>
                <w:szCs w:val="24"/>
              </w:rPr>
              <w:t>4</w:t>
            </w:r>
          </w:p>
        </w:tc>
        <w:tc>
          <w:tcPr>
            <w:tcW w:w="2702" w:type="dxa"/>
            <w:tcBorders>
              <w:top w:val="nil"/>
              <w:left w:val="nil"/>
              <w:bottom w:val="single" w:sz="8" w:space="0" w:color="auto"/>
              <w:right w:val="single" w:sz="8" w:space="0" w:color="auto"/>
            </w:tcBorders>
            <w:shd w:val="clear" w:color="auto" w:fill="auto"/>
            <w:noWrap/>
            <w:vAlign w:val="center"/>
            <w:hideMark/>
          </w:tcPr>
          <w:p w:rsidR="005533D6" w:rsidRPr="00F457FE" w:rsidRDefault="005533D6" w:rsidP="00A26494">
            <w:pPr>
              <w:spacing w:after="0" w:line="240" w:lineRule="auto"/>
              <w:jc w:val="center"/>
              <w:rPr>
                <w:rFonts w:ascii="Times New Roman" w:eastAsia="Times New Roman" w:hAnsi="Times New Roman" w:cs="Times New Roman"/>
                <w:color w:val="000000"/>
                <w:sz w:val="24"/>
                <w:szCs w:val="24"/>
              </w:rPr>
            </w:pPr>
            <w:r w:rsidRPr="00F457FE">
              <w:rPr>
                <w:rFonts w:ascii="Times New Roman" w:eastAsia="Times New Roman" w:hAnsi="Times New Roman" w:cs="Times New Roman"/>
                <w:color w:val="000000"/>
                <w:sz w:val="24"/>
                <w:szCs w:val="24"/>
              </w:rPr>
              <w:t>75.00</w:t>
            </w:r>
          </w:p>
        </w:tc>
      </w:tr>
      <w:tr w:rsidR="005533D6" w:rsidRPr="00F457FE" w:rsidTr="00A26494">
        <w:trPr>
          <w:trHeight w:val="255"/>
        </w:trPr>
        <w:tc>
          <w:tcPr>
            <w:tcW w:w="2034" w:type="dxa"/>
            <w:tcBorders>
              <w:top w:val="nil"/>
              <w:left w:val="single" w:sz="8" w:space="0" w:color="auto"/>
              <w:bottom w:val="single" w:sz="8" w:space="0" w:color="auto"/>
              <w:right w:val="single" w:sz="8" w:space="0" w:color="auto"/>
            </w:tcBorders>
            <w:shd w:val="clear" w:color="auto" w:fill="auto"/>
            <w:noWrap/>
            <w:vAlign w:val="center"/>
            <w:hideMark/>
          </w:tcPr>
          <w:p w:rsidR="005533D6" w:rsidRPr="00F457FE" w:rsidRDefault="005533D6" w:rsidP="00A26494">
            <w:pPr>
              <w:spacing w:after="0" w:line="240" w:lineRule="auto"/>
              <w:jc w:val="center"/>
              <w:rPr>
                <w:rFonts w:ascii="Times New Roman" w:eastAsia="Times New Roman" w:hAnsi="Times New Roman" w:cs="Times New Roman"/>
                <w:color w:val="000000"/>
                <w:sz w:val="24"/>
                <w:szCs w:val="24"/>
              </w:rPr>
            </w:pPr>
            <w:r w:rsidRPr="00F457FE">
              <w:rPr>
                <w:rFonts w:ascii="Times New Roman" w:eastAsia="Times New Roman" w:hAnsi="Times New Roman" w:cs="Times New Roman"/>
                <w:color w:val="000000"/>
                <w:sz w:val="24"/>
                <w:szCs w:val="24"/>
              </w:rPr>
              <w:t>Kpando</w:t>
            </w:r>
          </w:p>
        </w:tc>
        <w:tc>
          <w:tcPr>
            <w:tcW w:w="1190" w:type="dxa"/>
            <w:tcBorders>
              <w:top w:val="nil"/>
              <w:left w:val="nil"/>
              <w:bottom w:val="single" w:sz="8" w:space="0" w:color="auto"/>
              <w:right w:val="single" w:sz="8" w:space="0" w:color="auto"/>
            </w:tcBorders>
            <w:shd w:val="clear" w:color="auto" w:fill="auto"/>
            <w:noWrap/>
            <w:vAlign w:val="center"/>
            <w:hideMark/>
          </w:tcPr>
          <w:p w:rsidR="005533D6" w:rsidRPr="00F457FE" w:rsidRDefault="005533D6" w:rsidP="00A26494">
            <w:pPr>
              <w:spacing w:after="0" w:line="240" w:lineRule="auto"/>
              <w:jc w:val="center"/>
              <w:rPr>
                <w:rFonts w:ascii="Times New Roman" w:eastAsia="Times New Roman" w:hAnsi="Times New Roman" w:cs="Times New Roman"/>
                <w:color w:val="000000"/>
                <w:sz w:val="24"/>
                <w:szCs w:val="24"/>
              </w:rPr>
            </w:pPr>
            <w:r w:rsidRPr="00F457FE">
              <w:rPr>
                <w:rFonts w:ascii="Times New Roman" w:eastAsia="Times New Roman" w:hAnsi="Times New Roman" w:cs="Times New Roman"/>
                <w:color w:val="000000"/>
                <w:sz w:val="24"/>
                <w:szCs w:val="24"/>
              </w:rPr>
              <w:t>7</w:t>
            </w:r>
          </w:p>
        </w:tc>
        <w:tc>
          <w:tcPr>
            <w:tcW w:w="1270" w:type="dxa"/>
            <w:tcBorders>
              <w:top w:val="nil"/>
              <w:left w:val="nil"/>
              <w:bottom w:val="single" w:sz="8" w:space="0" w:color="auto"/>
              <w:right w:val="single" w:sz="4" w:space="0" w:color="auto"/>
            </w:tcBorders>
            <w:shd w:val="clear" w:color="auto" w:fill="auto"/>
            <w:noWrap/>
            <w:vAlign w:val="center"/>
            <w:hideMark/>
          </w:tcPr>
          <w:p w:rsidR="005533D6" w:rsidRPr="00F457FE" w:rsidRDefault="005533D6" w:rsidP="00A26494">
            <w:pPr>
              <w:jc w:val="center"/>
              <w:rPr>
                <w:rFonts w:ascii="Times New Roman" w:hAnsi="Times New Roman" w:cs="Times New Roman"/>
                <w:color w:val="000000"/>
                <w:sz w:val="24"/>
                <w:szCs w:val="24"/>
              </w:rPr>
            </w:pPr>
            <w:r w:rsidRPr="00F457FE">
              <w:rPr>
                <w:rFonts w:ascii="Times New Roman" w:hAnsi="Times New Roman" w:cs="Times New Roman"/>
                <w:color w:val="000000"/>
                <w:sz w:val="24"/>
                <w:szCs w:val="24"/>
              </w:rPr>
              <w:t>3.6</w:t>
            </w:r>
          </w:p>
        </w:tc>
        <w:tc>
          <w:tcPr>
            <w:tcW w:w="1679" w:type="dxa"/>
            <w:tcBorders>
              <w:top w:val="nil"/>
              <w:left w:val="single" w:sz="4" w:space="0" w:color="auto"/>
              <w:bottom w:val="single" w:sz="8" w:space="0" w:color="auto"/>
              <w:right w:val="single" w:sz="8" w:space="0" w:color="auto"/>
            </w:tcBorders>
            <w:shd w:val="clear" w:color="auto" w:fill="auto"/>
            <w:vAlign w:val="center"/>
          </w:tcPr>
          <w:p w:rsidR="005533D6" w:rsidRPr="00F457FE" w:rsidRDefault="005533D6" w:rsidP="00A26494">
            <w:pPr>
              <w:spacing w:after="0" w:line="240" w:lineRule="auto"/>
              <w:jc w:val="center"/>
              <w:rPr>
                <w:rFonts w:ascii="Times New Roman" w:eastAsia="Times New Roman" w:hAnsi="Times New Roman" w:cs="Times New Roman"/>
                <w:color w:val="000000"/>
                <w:sz w:val="24"/>
                <w:szCs w:val="24"/>
              </w:rPr>
            </w:pPr>
            <w:r w:rsidRPr="00F457FE">
              <w:rPr>
                <w:rFonts w:ascii="Times New Roman" w:eastAsia="Times New Roman" w:hAnsi="Times New Roman" w:cs="Times New Roman"/>
                <w:color w:val="000000"/>
                <w:sz w:val="24"/>
                <w:szCs w:val="24"/>
              </w:rPr>
              <w:t>5</w:t>
            </w:r>
          </w:p>
        </w:tc>
        <w:tc>
          <w:tcPr>
            <w:tcW w:w="2702" w:type="dxa"/>
            <w:tcBorders>
              <w:top w:val="nil"/>
              <w:left w:val="nil"/>
              <w:bottom w:val="single" w:sz="8" w:space="0" w:color="auto"/>
              <w:right w:val="single" w:sz="8" w:space="0" w:color="auto"/>
            </w:tcBorders>
            <w:shd w:val="clear" w:color="auto" w:fill="auto"/>
            <w:noWrap/>
            <w:vAlign w:val="center"/>
            <w:hideMark/>
          </w:tcPr>
          <w:p w:rsidR="005533D6" w:rsidRPr="00F457FE" w:rsidRDefault="005533D6" w:rsidP="00A26494">
            <w:pPr>
              <w:spacing w:after="0" w:line="240" w:lineRule="auto"/>
              <w:jc w:val="center"/>
              <w:rPr>
                <w:rFonts w:ascii="Times New Roman" w:eastAsia="Times New Roman" w:hAnsi="Times New Roman" w:cs="Times New Roman"/>
                <w:color w:val="000000"/>
                <w:sz w:val="24"/>
                <w:szCs w:val="24"/>
              </w:rPr>
            </w:pPr>
            <w:r w:rsidRPr="00F457FE">
              <w:rPr>
                <w:rFonts w:ascii="Times New Roman" w:eastAsia="Times New Roman" w:hAnsi="Times New Roman" w:cs="Times New Roman"/>
                <w:color w:val="000000"/>
                <w:sz w:val="24"/>
                <w:szCs w:val="24"/>
              </w:rPr>
              <w:t>40.00</w:t>
            </w:r>
          </w:p>
        </w:tc>
      </w:tr>
      <w:tr w:rsidR="005533D6" w:rsidRPr="00F457FE" w:rsidTr="00A26494">
        <w:trPr>
          <w:trHeight w:val="255"/>
        </w:trPr>
        <w:tc>
          <w:tcPr>
            <w:tcW w:w="2034" w:type="dxa"/>
            <w:tcBorders>
              <w:top w:val="nil"/>
              <w:left w:val="single" w:sz="8" w:space="0" w:color="auto"/>
              <w:bottom w:val="single" w:sz="8" w:space="0" w:color="auto"/>
              <w:right w:val="single" w:sz="8" w:space="0" w:color="auto"/>
            </w:tcBorders>
            <w:shd w:val="clear" w:color="auto" w:fill="auto"/>
            <w:noWrap/>
            <w:vAlign w:val="center"/>
            <w:hideMark/>
          </w:tcPr>
          <w:p w:rsidR="005533D6" w:rsidRPr="00F457FE" w:rsidRDefault="005533D6" w:rsidP="00A26494">
            <w:pPr>
              <w:spacing w:after="0" w:line="240" w:lineRule="auto"/>
              <w:jc w:val="center"/>
              <w:rPr>
                <w:rFonts w:ascii="Times New Roman" w:eastAsia="Times New Roman" w:hAnsi="Times New Roman" w:cs="Times New Roman"/>
                <w:color w:val="000000"/>
                <w:sz w:val="24"/>
                <w:szCs w:val="24"/>
              </w:rPr>
            </w:pPr>
            <w:r w:rsidRPr="00F457FE">
              <w:rPr>
                <w:rFonts w:ascii="Times New Roman" w:eastAsia="Times New Roman" w:hAnsi="Times New Roman" w:cs="Times New Roman"/>
                <w:color w:val="000000"/>
                <w:sz w:val="24"/>
                <w:szCs w:val="24"/>
              </w:rPr>
              <w:t>Ketu</w:t>
            </w:r>
          </w:p>
        </w:tc>
        <w:tc>
          <w:tcPr>
            <w:tcW w:w="1190" w:type="dxa"/>
            <w:tcBorders>
              <w:top w:val="nil"/>
              <w:left w:val="nil"/>
              <w:bottom w:val="single" w:sz="8" w:space="0" w:color="auto"/>
              <w:right w:val="single" w:sz="8" w:space="0" w:color="auto"/>
            </w:tcBorders>
            <w:shd w:val="clear" w:color="auto" w:fill="auto"/>
            <w:noWrap/>
            <w:vAlign w:val="center"/>
            <w:hideMark/>
          </w:tcPr>
          <w:p w:rsidR="005533D6" w:rsidRPr="00F457FE" w:rsidRDefault="005533D6" w:rsidP="00A26494">
            <w:pPr>
              <w:spacing w:after="0" w:line="240" w:lineRule="auto"/>
              <w:jc w:val="center"/>
              <w:rPr>
                <w:rFonts w:ascii="Times New Roman" w:eastAsia="Times New Roman" w:hAnsi="Times New Roman" w:cs="Times New Roman"/>
                <w:color w:val="000000"/>
                <w:sz w:val="24"/>
                <w:szCs w:val="24"/>
              </w:rPr>
            </w:pPr>
            <w:r w:rsidRPr="00F457FE">
              <w:rPr>
                <w:rFonts w:ascii="Times New Roman" w:eastAsia="Times New Roman" w:hAnsi="Times New Roman" w:cs="Times New Roman"/>
                <w:color w:val="000000"/>
                <w:sz w:val="24"/>
                <w:szCs w:val="24"/>
              </w:rPr>
              <w:t>7</w:t>
            </w:r>
          </w:p>
        </w:tc>
        <w:tc>
          <w:tcPr>
            <w:tcW w:w="1270" w:type="dxa"/>
            <w:tcBorders>
              <w:top w:val="nil"/>
              <w:left w:val="nil"/>
              <w:bottom w:val="single" w:sz="8" w:space="0" w:color="auto"/>
              <w:right w:val="single" w:sz="4" w:space="0" w:color="auto"/>
            </w:tcBorders>
            <w:shd w:val="clear" w:color="auto" w:fill="auto"/>
            <w:noWrap/>
            <w:vAlign w:val="center"/>
            <w:hideMark/>
          </w:tcPr>
          <w:p w:rsidR="005533D6" w:rsidRPr="00F457FE" w:rsidRDefault="005533D6" w:rsidP="00A26494">
            <w:pPr>
              <w:jc w:val="center"/>
              <w:rPr>
                <w:rFonts w:ascii="Times New Roman" w:hAnsi="Times New Roman" w:cs="Times New Roman"/>
                <w:color w:val="000000"/>
                <w:sz w:val="24"/>
                <w:szCs w:val="24"/>
              </w:rPr>
            </w:pPr>
            <w:r w:rsidRPr="00F457FE">
              <w:rPr>
                <w:rFonts w:ascii="Times New Roman" w:hAnsi="Times New Roman" w:cs="Times New Roman"/>
                <w:color w:val="000000"/>
                <w:sz w:val="24"/>
                <w:szCs w:val="24"/>
              </w:rPr>
              <w:t>3.6</w:t>
            </w:r>
          </w:p>
        </w:tc>
        <w:tc>
          <w:tcPr>
            <w:tcW w:w="1679" w:type="dxa"/>
            <w:tcBorders>
              <w:top w:val="nil"/>
              <w:left w:val="single" w:sz="4" w:space="0" w:color="auto"/>
              <w:bottom w:val="single" w:sz="8" w:space="0" w:color="auto"/>
              <w:right w:val="single" w:sz="8" w:space="0" w:color="auto"/>
            </w:tcBorders>
            <w:shd w:val="clear" w:color="auto" w:fill="auto"/>
            <w:vAlign w:val="center"/>
          </w:tcPr>
          <w:p w:rsidR="005533D6" w:rsidRPr="00F457FE" w:rsidRDefault="005533D6" w:rsidP="00A26494">
            <w:pPr>
              <w:spacing w:after="0" w:line="240" w:lineRule="auto"/>
              <w:jc w:val="center"/>
              <w:rPr>
                <w:rFonts w:ascii="Times New Roman" w:eastAsia="Times New Roman" w:hAnsi="Times New Roman" w:cs="Times New Roman"/>
                <w:color w:val="000000"/>
                <w:sz w:val="24"/>
                <w:szCs w:val="24"/>
              </w:rPr>
            </w:pPr>
            <w:r w:rsidRPr="00F457FE">
              <w:rPr>
                <w:rFonts w:ascii="Times New Roman" w:eastAsia="Times New Roman" w:hAnsi="Times New Roman" w:cs="Times New Roman"/>
                <w:color w:val="000000"/>
                <w:sz w:val="24"/>
                <w:szCs w:val="24"/>
              </w:rPr>
              <w:t>20</w:t>
            </w:r>
          </w:p>
        </w:tc>
        <w:tc>
          <w:tcPr>
            <w:tcW w:w="2702" w:type="dxa"/>
            <w:tcBorders>
              <w:top w:val="nil"/>
              <w:left w:val="nil"/>
              <w:bottom w:val="single" w:sz="8" w:space="0" w:color="auto"/>
              <w:right w:val="single" w:sz="8" w:space="0" w:color="auto"/>
            </w:tcBorders>
            <w:shd w:val="clear" w:color="auto" w:fill="auto"/>
            <w:noWrap/>
            <w:vAlign w:val="center"/>
            <w:hideMark/>
          </w:tcPr>
          <w:p w:rsidR="005533D6" w:rsidRPr="00F457FE" w:rsidRDefault="005533D6" w:rsidP="00A26494">
            <w:pPr>
              <w:spacing w:after="0" w:line="240" w:lineRule="auto"/>
              <w:jc w:val="center"/>
              <w:rPr>
                <w:rFonts w:ascii="Times New Roman" w:eastAsia="Times New Roman" w:hAnsi="Times New Roman" w:cs="Times New Roman"/>
                <w:color w:val="000000"/>
                <w:sz w:val="24"/>
                <w:szCs w:val="24"/>
              </w:rPr>
            </w:pPr>
            <w:r w:rsidRPr="00F457FE">
              <w:rPr>
                <w:rFonts w:ascii="Times New Roman" w:eastAsia="Times New Roman" w:hAnsi="Times New Roman" w:cs="Times New Roman"/>
                <w:color w:val="000000"/>
                <w:sz w:val="24"/>
                <w:szCs w:val="24"/>
              </w:rPr>
              <w:t>-65.00</w:t>
            </w:r>
          </w:p>
        </w:tc>
      </w:tr>
      <w:tr w:rsidR="005533D6" w:rsidRPr="00F457FE" w:rsidTr="00A26494">
        <w:trPr>
          <w:trHeight w:val="248"/>
        </w:trPr>
        <w:tc>
          <w:tcPr>
            <w:tcW w:w="2034" w:type="dxa"/>
            <w:tcBorders>
              <w:top w:val="nil"/>
              <w:left w:val="single" w:sz="8" w:space="0" w:color="auto"/>
              <w:bottom w:val="single" w:sz="8" w:space="0" w:color="auto"/>
              <w:right w:val="single" w:sz="8" w:space="0" w:color="auto"/>
            </w:tcBorders>
            <w:shd w:val="clear" w:color="auto" w:fill="auto"/>
            <w:noWrap/>
            <w:vAlign w:val="center"/>
            <w:hideMark/>
          </w:tcPr>
          <w:p w:rsidR="005533D6" w:rsidRPr="00F457FE" w:rsidRDefault="005533D6" w:rsidP="00A26494">
            <w:pPr>
              <w:spacing w:after="0" w:line="240" w:lineRule="auto"/>
              <w:jc w:val="center"/>
              <w:rPr>
                <w:rFonts w:ascii="Times New Roman" w:eastAsia="Times New Roman" w:hAnsi="Times New Roman" w:cs="Times New Roman"/>
                <w:b/>
                <w:bCs/>
                <w:color w:val="000000"/>
                <w:sz w:val="24"/>
                <w:szCs w:val="24"/>
              </w:rPr>
            </w:pPr>
            <w:r w:rsidRPr="00F457FE">
              <w:rPr>
                <w:rFonts w:ascii="Times New Roman" w:eastAsia="Times New Roman" w:hAnsi="Times New Roman" w:cs="Times New Roman"/>
                <w:b/>
                <w:bCs/>
                <w:color w:val="000000"/>
                <w:sz w:val="24"/>
                <w:szCs w:val="24"/>
              </w:rPr>
              <w:t>Total</w:t>
            </w:r>
          </w:p>
        </w:tc>
        <w:tc>
          <w:tcPr>
            <w:tcW w:w="1190" w:type="dxa"/>
            <w:tcBorders>
              <w:top w:val="nil"/>
              <w:left w:val="nil"/>
              <w:bottom w:val="single" w:sz="8" w:space="0" w:color="auto"/>
              <w:right w:val="single" w:sz="8" w:space="0" w:color="auto"/>
            </w:tcBorders>
            <w:shd w:val="clear" w:color="auto" w:fill="auto"/>
            <w:noWrap/>
            <w:vAlign w:val="center"/>
            <w:hideMark/>
          </w:tcPr>
          <w:p w:rsidR="005533D6" w:rsidRPr="00F457FE" w:rsidRDefault="005533D6" w:rsidP="00A26494">
            <w:pPr>
              <w:spacing w:after="0" w:line="240" w:lineRule="auto"/>
              <w:jc w:val="center"/>
              <w:rPr>
                <w:rFonts w:ascii="Times New Roman" w:eastAsia="Times New Roman" w:hAnsi="Times New Roman" w:cs="Times New Roman"/>
                <w:b/>
                <w:bCs/>
                <w:color w:val="000000"/>
                <w:sz w:val="24"/>
                <w:szCs w:val="24"/>
              </w:rPr>
            </w:pPr>
            <w:r w:rsidRPr="00F457FE">
              <w:rPr>
                <w:rFonts w:ascii="Times New Roman" w:eastAsia="Times New Roman" w:hAnsi="Times New Roman" w:cs="Times New Roman"/>
                <w:b/>
                <w:bCs/>
                <w:color w:val="000000"/>
                <w:sz w:val="24"/>
                <w:szCs w:val="24"/>
              </w:rPr>
              <w:t>193</w:t>
            </w:r>
          </w:p>
        </w:tc>
        <w:tc>
          <w:tcPr>
            <w:tcW w:w="1270" w:type="dxa"/>
            <w:tcBorders>
              <w:top w:val="nil"/>
              <w:left w:val="nil"/>
              <w:bottom w:val="single" w:sz="8" w:space="0" w:color="auto"/>
              <w:right w:val="single" w:sz="4" w:space="0" w:color="auto"/>
            </w:tcBorders>
            <w:shd w:val="clear" w:color="auto" w:fill="auto"/>
            <w:noWrap/>
            <w:vAlign w:val="center"/>
            <w:hideMark/>
          </w:tcPr>
          <w:p w:rsidR="005533D6" w:rsidRPr="00F457FE" w:rsidRDefault="005533D6" w:rsidP="00A26494">
            <w:pPr>
              <w:jc w:val="center"/>
              <w:rPr>
                <w:rFonts w:ascii="Times New Roman" w:hAnsi="Times New Roman" w:cs="Times New Roman"/>
                <w:b/>
                <w:bCs/>
                <w:color w:val="000000"/>
                <w:sz w:val="24"/>
                <w:szCs w:val="24"/>
              </w:rPr>
            </w:pPr>
            <w:r w:rsidRPr="00F457FE">
              <w:rPr>
                <w:rFonts w:ascii="Times New Roman" w:hAnsi="Times New Roman" w:cs="Times New Roman"/>
                <w:b/>
                <w:bCs/>
                <w:color w:val="000000"/>
                <w:sz w:val="24"/>
                <w:szCs w:val="24"/>
              </w:rPr>
              <w:t>100.0</w:t>
            </w:r>
          </w:p>
        </w:tc>
        <w:tc>
          <w:tcPr>
            <w:tcW w:w="1679" w:type="dxa"/>
            <w:tcBorders>
              <w:top w:val="nil"/>
              <w:left w:val="single" w:sz="4" w:space="0" w:color="auto"/>
              <w:bottom w:val="single" w:sz="8" w:space="0" w:color="auto"/>
              <w:right w:val="single" w:sz="8" w:space="0" w:color="auto"/>
            </w:tcBorders>
            <w:shd w:val="clear" w:color="auto" w:fill="auto"/>
            <w:vAlign w:val="center"/>
          </w:tcPr>
          <w:p w:rsidR="005533D6" w:rsidRPr="00F457FE" w:rsidRDefault="005533D6" w:rsidP="00A26494">
            <w:pPr>
              <w:spacing w:after="0" w:line="240" w:lineRule="auto"/>
              <w:jc w:val="center"/>
              <w:rPr>
                <w:rFonts w:ascii="Times New Roman" w:eastAsia="Times New Roman" w:hAnsi="Times New Roman" w:cs="Times New Roman"/>
                <w:b/>
                <w:bCs/>
                <w:color w:val="000000"/>
                <w:sz w:val="24"/>
                <w:szCs w:val="24"/>
              </w:rPr>
            </w:pPr>
            <w:r w:rsidRPr="00F457FE">
              <w:rPr>
                <w:rFonts w:ascii="Times New Roman" w:eastAsia="Times New Roman" w:hAnsi="Times New Roman" w:cs="Times New Roman"/>
                <w:b/>
                <w:bCs/>
                <w:color w:val="000000"/>
                <w:sz w:val="24"/>
                <w:szCs w:val="24"/>
              </w:rPr>
              <w:t>247</w:t>
            </w:r>
          </w:p>
        </w:tc>
        <w:tc>
          <w:tcPr>
            <w:tcW w:w="2702" w:type="dxa"/>
            <w:tcBorders>
              <w:top w:val="nil"/>
              <w:left w:val="nil"/>
              <w:bottom w:val="single" w:sz="8" w:space="0" w:color="auto"/>
              <w:right w:val="single" w:sz="8" w:space="0" w:color="auto"/>
            </w:tcBorders>
            <w:shd w:val="clear" w:color="auto" w:fill="auto"/>
            <w:noWrap/>
            <w:vAlign w:val="bottom"/>
            <w:hideMark/>
          </w:tcPr>
          <w:p w:rsidR="005533D6" w:rsidRPr="00F457FE" w:rsidRDefault="005533D6" w:rsidP="00A26494">
            <w:pPr>
              <w:spacing w:after="0" w:line="240" w:lineRule="auto"/>
              <w:jc w:val="center"/>
              <w:rPr>
                <w:rFonts w:ascii="Times New Roman" w:eastAsia="Times New Roman" w:hAnsi="Times New Roman" w:cs="Times New Roman"/>
                <w:color w:val="000000"/>
                <w:sz w:val="24"/>
                <w:szCs w:val="24"/>
              </w:rPr>
            </w:pPr>
          </w:p>
        </w:tc>
      </w:tr>
    </w:tbl>
    <w:p w:rsidR="00620074" w:rsidRPr="00F457FE" w:rsidRDefault="00A77C94" w:rsidP="001D0B78">
      <w:pPr>
        <w:tabs>
          <w:tab w:val="left" w:pos="8455"/>
        </w:tabs>
        <w:rPr>
          <w:rFonts w:ascii="Times New Roman" w:hAnsi="Times New Roman" w:cs="Times New Roman"/>
          <w:sz w:val="24"/>
          <w:szCs w:val="24"/>
        </w:rPr>
      </w:pPr>
      <w:r w:rsidRPr="00F457FE">
        <w:rPr>
          <w:rFonts w:ascii="Times New Roman" w:hAnsi="Times New Roman" w:cs="Times New Roman"/>
          <w:sz w:val="24"/>
          <w:szCs w:val="24"/>
        </w:rPr>
        <w:t xml:space="preserve"> From the table 5 above, </w:t>
      </w:r>
      <w:r w:rsidR="005533D6" w:rsidRPr="00F457FE">
        <w:rPr>
          <w:rFonts w:ascii="Times New Roman" w:hAnsi="Times New Roman" w:cs="Times New Roman"/>
          <w:sz w:val="24"/>
          <w:szCs w:val="24"/>
        </w:rPr>
        <w:t>the HO division recorded the highest number of crashes with 58% of all crashes within the region.</w:t>
      </w:r>
      <w:r w:rsidR="007445FF" w:rsidRPr="00F457FE">
        <w:rPr>
          <w:rFonts w:ascii="Times New Roman" w:hAnsi="Times New Roman" w:cs="Times New Roman"/>
          <w:sz w:val="24"/>
          <w:szCs w:val="24"/>
        </w:rPr>
        <w:t xml:space="preserve"> Hohoe, Kpando and Ketu </w:t>
      </w:r>
      <w:proofErr w:type="gramStart"/>
      <w:r w:rsidR="007445FF" w:rsidRPr="00F457FE">
        <w:rPr>
          <w:rFonts w:ascii="Times New Roman" w:hAnsi="Times New Roman" w:cs="Times New Roman"/>
          <w:sz w:val="24"/>
          <w:szCs w:val="24"/>
        </w:rPr>
        <w:t>divisions</w:t>
      </w:r>
      <w:proofErr w:type="gramEnd"/>
      <w:r w:rsidR="007445FF" w:rsidRPr="00F457FE">
        <w:rPr>
          <w:rFonts w:ascii="Times New Roman" w:hAnsi="Times New Roman" w:cs="Times New Roman"/>
          <w:sz w:val="24"/>
          <w:szCs w:val="24"/>
        </w:rPr>
        <w:t xml:space="preserve"> recorded 7 crashes each representing 3.6% of crashes within the region.</w:t>
      </w:r>
    </w:p>
    <w:p w:rsidR="007445FF" w:rsidRPr="00F457FE" w:rsidRDefault="007445FF" w:rsidP="001D0B78">
      <w:pPr>
        <w:tabs>
          <w:tab w:val="left" w:pos="8455"/>
        </w:tabs>
        <w:rPr>
          <w:rFonts w:ascii="Times New Roman" w:hAnsi="Times New Roman" w:cs="Times New Roman"/>
          <w:sz w:val="24"/>
          <w:szCs w:val="24"/>
        </w:rPr>
      </w:pPr>
      <w:r w:rsidRPr="00F457FE">
        <w:rPr>
          <w:rFonts w:ascii="Times New Roman" w:hAnsi="Times New Roman" w:cs="Times New Roman"/>
          <w:sz w:val="24"/>
          <w:szCs w:val="24"/>
        </w:rPr>
        <w:t>Figure 4</w:t>
      </w:r>
      <w:r w:rsidR="003D79D9" w:rsidRPr="00F457FE">
        <w:rPr>
          <w:rFonts w:ascii="Times New Roman" w:hAnsi="Times New Roman" w:cs="Times New Roman"/>
          <w:sz w:val="24"/>
          <w:szCs w:val="24"/>
        </w:rPr>
        <w:t>: Divisional distribution of crashes</w:t>
      </w:r>
    </w:p>
    <w:p w:rsidR="001D0B78" w:rsidRDefault="006160F6" w:rsidP="001D0B78">
      <w:pPr>
        <w:tabs>
          <w:tab w:val="left" w:pos="8455"/>
        </w:tabs>
      </w:pPr>
      <w:r>
        <w:rPr>
          <w:noProof/>
        </w:rPr>
        <w:drawing>
          <wp:inline distT="0" distB="0" distL="0" distR="0">
            <wp:extent cx="5486400" cy="32004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1D0B78">
        <w:tab/>
      </w:r>
    </w:p>
    <w:p w:rsidR="00AA3732" w:rsidRPr="00F457FE" w:rsidRDefault="007445FF" w:rsidP="001D0B78">
      <w:pPr>
        <w:tabs>
          <w:tab w:val="left" w:pos="8455"/>
        </w:tabs>
        <w:rPr>
          <w:rFonts w:ascii="Times New Roman" w:hAnsi="Times New Roman" w:cs="Times New Roman"/>
          <w:sz w:val="24"/>
          <w:szCs w:val="24"/>
        </w:rPr>
      </w:pPr>
      <w:r w:rsidRPr="00F457FE">
        <w:rPr>
          <w:rFonts w:ascii="Times New Roman" w:hAnsi="Times New Roman" w:cs="Times New Roman"/>
          <w:sz w:val="24"/>
          <w:szCs w:val="24"/>
        </w:rPr>
        <w:t>From figure 4 above, the Ho division</w:t>
      </w:r>
      <w:r w:rsidR="00AA3732" w:rsidRPr="00F457FE">
        <w:rPr>
          <w:rFonts w:ascii="Times New Roman" w:hAnsi="Times New Roman" w:cs="Times New Roman"/>
          <w:sz w:val="24"/>
          <w:szCs w:val="24"/>
        </w:rPr>
        <w:t xml:space="preserve"> recorded</w:t>
      </w:r>
      <w:r w:rsidRPr="00F457FE">
        <w:rPr>
          <w:rFonts w:ascii="Times New Roman" w:hAnsi="Times New Roman" w:cs="Times New Roman"/>
          <w:sz w:val="24"/>
          <w:szCs w:val="24"/>
        </w:rPr>
        <w:t xml:space="preserve"> </w:t>
      </w:r>
      <w:r w:rsidR="00AA3732" w:rsidRPr="00F457FE">
        <w:rPr>
          <w:rFonts w:ascii="Times New Roman" w:hAnsi="Times New Roman" w:cs="Times New Roman"/>
          <w:sz w:val="24"/>
          <w:szCs w:val="24"/>
        </w:rPr>
        <w:t xml:space="preserve">a </w:t>
      </w:r>
      <w:r w:rsidRPr="00F457FE">
        <w:rPr>
          <w:rFonts w:ascii="Times New Roman" w:hAnsi="Times New Roman" w:cs="Times New Roman"/>
          <w:sz w:val="24"/>
          <w:szCs w:val="24"/>
        </w:rPr>
        <w:t>15% decrease in crashes</w:t>
      </w:r>
      <w:r w:rsidR="00AA3732" w:rsidRPr="00F457FE">
        <w:rPr>
          <w:rFonts w:ascii="Times New Roman" w:hAnsi="Times New Roman" w:cs="Times New Roman"/>
          <w:sz w:val="24"/>
          <w:szCs w:val="24"/>
        </w:rPr>
        <w:t xml:space="preserve"> from 132 in 2021 to 112 in 2022. Keta division recorded an 11% decrease in crashes from 35 in 2021 to 31 in 2022. Tongu division recorded a 43% decrease from 51 in 2021 to 29 in 2022. Ketu division recorded a 65% decrease in crashes from 20 in 2021 to 7 in 2022. Hohoe division recorded a 75% increase in from 4 in 2021 to 7 in 2022. Kpando division also recorded a 40% increase in crashes from 5 in 2021 to 7 in 2022. </w:t>
      </w:r>
      <w:r w:rsidRPr="00F457FE">
        <w:rPr>
          <w:rFonts w:ascii="Times New Roman" w:hAnsi="Times New Roman" w:cs="Times New Roman"/>
          <w:sz w:val="24"/>
          <w:szCs w:val="24"/>
        </w:rPr>
        <w:t xml:space="preserve"> </w:t>
      </w:r>
    </w:p>
    <w:p w:rsidR="00AA3732" w:rsidRDefault="00AA3732" w:rsidP="001D0B78">
      <w:pPr>
        <w:tabs>
          <w:tab w:val="left" w:pos="8455"/>
        </w:tabs>
      </w:pPr>
    </w:p>
    <w:p w:rsidR="00AA3732" w:rsidRDefault="00AA3732" w:rsidP="001D0B78">
      <w:pPr>
        <w:tabs>
          <w:tab w:val="left" w:pos="8455"/>
        </w:tabs>
      </w:pPr>
    </w:p>
    <w:p w:rsidR="00AA3732" w:rsidRDefault="00AA3732" w:rsidP="001D0B78">
      <w:pPr>
        <w:tabs>
          <w:tab w:val="left" w:pos="8455"/>
        </w:tabs>
      </w:pPr>
    </w:p>
    <w:p w:rsidR="007F1E1B" w:rsidRPr="00F457FE" w:rsidRDefault="00642836" w:rsidP="00A26494">
      <w:pPr>
        <w:rPr>
          <w:rFonts w:ascii="Times New Roman" w:hAnsi="Times New Roman" w:cs="Times New Roman"/>
          <w:sz w:val="24"/>
          <w:szCs w:val="24"/>
        </w:rPr>
      </w:pPr>
      <w:r w:rsidRPr="00F457FE">
        <w:rPr>
          <w:rFonts w:ascii="Times New Roman" w:hAnsi="Times New Roman" w:cs="Times New Roman"/>
          <w:sz w:val="24"/>
          <w:szCs w:val="24"/>
        </w:rPr>
        <w:t>Table 6</w:t>
      </w:r>
      <w:r w:rsidR="00A26494" w:rsidRPr="00F457FE">
        <w:rPr>
          <w:rFonts w:ascii="Times New Roman" w:hAnsi="Times New Roman" w:cs="Times New Roman"/>
          <w:sz w:val="24"/>
          <w:szCs w:val="24"/>
        </w:rPr>
        <w:t>:  Divisional distribution of fatalities</w:t>
      </w:r>
    </w:p>
    <w:tbl>
      <w:tblPr>
        <w:tblW w:w="8517" w:type="dxa"/>
        <w:tblInd w:w="93" w:type="dxa"/>
        <w:tblLook w:val="04A0" w:firstRow="1" w:lastRow="0" w:firstColumn="1" w:lastColumn="0" w:noHBand="0" w:noVBand="1"/>
      </w:tblPr>
      <w:tblGrid>
        <w:gridCol w:w="1716"/>
        <w:gridCol w:w="1565"/>
        <w:gridCol w:w="1984"/>
        <w:gridCol w:w="3252"/>
      </w:tblGrid>
      <w:tr w:rsidR="007F1E1B" w:rsidRPr="00F457FE" w:rsidTr="00984A40">
        <w:trPr>
          <w:trHeight w:val="310"/>
        </w:trPr>
        <w:tc>
          <w:tcPr>
            <w:tcW w:w="8517" w:type="dxa"/>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7F1E1B" w:rsidRPr="00F457FE" w:rsidRDefault="007F1E1B" w:rsidP="007F1E1B">
            <w:pPr>
              <w:spacing w:after="0" w:line="240" w:lineRule="auto"/>
              <w:jc w:val="center"/>
              <w:rPr>
                <w:rFonts w:ascii="Times New Roman" w:eastAsia="Times New Roman" w:hAnsi="Times New Roman" w:cs="Times New Roman"/>
                <w:b/>
                <w:bCs/>
                <w:color w:val="000000"/>
                <w:sz w:val="24"/>
                <w:szCs w:val="24"/>
              </w:rPr>
            </w:pPr>
            <w:r w:rsidRPr="00F457FE">
              <w:rPr>
                <w:rFonts w:ascii="Times New Roman" w:eastAsia="Times New Roman" w:hAnsi="Times New Roman" w:cs="Times New Roman"/>
                <w:b/>
                <w:bCs/>
                <w:color w:val="000000"/>
                <w:sz w:val="24"/>
                <w:szCs w:val="24"/>
              </w:rPr>
              <w:t>FATALITIES</w:t>
            </w:r>
          </w:p>
        </w:tc>
      </w:tr>
      <w:tr w:rsidR="007F1E1B" w:rsidRPr="00F457FE" w:rsidTr="00984A40">
        <w:trPr>
          <w:trHeight w:val="310"/>
        </w:trPr>
        <w:tc>
          <w:tcPr>
            <w:tcW w:w="171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F1E1B" w:rsidRPr="00F457FE" w:rsidRDefault="00984A40" w:rsidP="00984A40">
            <w:pPr>
              <w:spacing w:after="0" w:line="240" w:lineRule="auto"/>
              <w:jc w:val="center"/>
              <w:rPr>
                <w:rFonts w:ascii="Times New Roman" w:eastAsia="Times New Roman" w:hAnsi="Times New Roman" w:cs="Times New Roman"/>
                <w:b/>
                <w:bCs/>
                <w:color w:val="000000"/>
                <w:sz w:val="24"/>
                <w:szCs w:val="24"/>
              </w:rPr>
            </w:pPr>
            <w:r w:rsidRPr="00F457FE">
              <w:rPr>
                <w:rFonts w:ascii="Times New Roman" w:eastAsia="Times New Roman" w:hAnsi="Times New Roman" w:cs="Times New Roman"/>
                <w:b/>
                <w:bCs/>
                <w:color w:val="000000"/>
                <w:sz w:val="24"/>
                <w:szCs w:val="24"/>
              </w:rPr>
              <w:t>DIVISION</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E1B" w:rsidRPr="00F457FE" w:rsidRDefault="00596E68" w:rsidP="00984A40">
            <w:pPr>
              <w:spacing w:after="0" w:line="240" w:lineRule="auto"/>
              <w:jc w:val="center"/>
              <w:rPr>
                <w:rFonts w:ascii="Times New Roman" w:eastAsia="Times New Roman" w:hAnsi="Times New Roman" w:cs="Times New Roman"/>
                <w:b/>
                <w:bCs/>
                <w:color w:val="000000"/>
                <w:sz w:val="24"/>
                <w:szCs w:val="24"/>
              </w:rPr>
            </w:pPr>
            <w:r w:rsidRPr="00F457FE">
              <w:rPr>
                <w:rFonts w:ascii="Times New Roman" w:eastAsia="Times New Roman" w:hAnsi="Times New Roman" w:cs="Times New Roman"/>
                <w:b/>
                <w:bCs/>
                <w:color w:val="000000"/>
                <w:sz w:val="24"/>
                <w:szCs w:val="24"/>
              </w:rPr>
              <w:t>2021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E1B" w:rsidRPr="00F457FE" w:rsidRDefault="00596E68" w:rsidP="00984A40">
            <w:pPr>
              <w:spacing w:after="0" w:line="240" w:lineRule="auto"/>
              <w:jc w:val="center"/>
              <w:rPr>
                <w:rFonts w:ascii="Times New Roman" w:eastAsia="Times New Roman" w:hAnsi="Times New Roman" w:cs="Times New Roman"/>
                <w:b/>
                <w:bCs/>
                <w:color w:val="000000"/>
                <w:sz w:val="24"/>
                <w:szCs w:val="24"/>
              </w:rPr>
            </w:pPr>
            <w:r w:rsidRPr="00F457FE">
              <w:rPr>
                <w:rFonts w:ascii="Times New Roman" w:eastAsia="Times New Roman" w:hAnsi="Times New Roman" w:cs="Times New Roman"/>
                <w:b/>
                <w:bCs/>
                <w:color w:val="000000"/>
                <w:sz w:val="24"/>
                <w:szCs w:val="24"/>
              </w:rPr>
              <w:t>2022</w:t>
            </w:r>
          </w:p>
        </w:tc>
        <w:tc>
          <w:tcPr>
            <w:tcW w:w="325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7F1E1B" w:rsidRPr="00F457FE" w:rsidRDefault="00984A40" w:rsidP="00984A40">
            <w:pPr>
              <w:spacing w:after="0" w:line="240" w:lineRule="auto"/>
              <w:jc w:val="center"/>
              <w:rPr>
                <w:rFonts w:ascii="Times New Roman" w:eastAsia="Times New Roman" w:hAnsi="Times New Roman" w:cs="Times New Roman"/>
                <w:b/>
                <w:bCs/>
                <w:color w:val="000000"/>
                <w:sz w:val="24"/>
                <w:szCs w:val="24"/>
              </w:rPr>
            </w:pPr>
            <w:r w:rsidRPr="00F457FE">
              <w:rPr>
                <w:rFonts w:ascii="Times New Roman" w:eastAsia="Times New Roman" w:hAnsi="Times New Roman" w:cs="Times New Roman"/>
                <w:b/>
                <w:bCs/>
                <w:color w:val="000000"/>
                <w:sz w:val="24"/>
                <w:szCs w:val="24"/>
              </w:rPr>
              <w:t xml:space="preserve">% change </w:t>
            </w:r>
            <w:r w:rsidR="007F1E1B" w:rsidRPr="00F457FE">
              <w:rPr>
                <w:rFonts w:ascii="Times New Roman" w:eastAsia="Times New Roman" w:hAnsi="Times New Roman" w:cs="Times New Roman"/>
                <w:b/>
                <w:bCs/>
                <w:color w:val="000000"/>
                <w:sz w:val="24"/>
                <w:szCs w:val="24"/>
              </w:rPr>
              <w:t>compared to 2021</w:t>
            </w:r>
          </w:p>
        </w:tc>
      </w:tr>
      <w:tr w:rsidR="007F1E1B" w:rsidRPr="00F457FE" w:rsidTr="00984A40">
        <w:trPr>
          <w:trHeight w:val="320"/>
        </w:trPr>
        <w:tc>
          <w:tcPr>
            <w:tcW w:w="171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F1E1B" w:rsidRPr="00F457FE" w:rsidRDefault="007F1E1B" w:rsidP="00984A40">
            <w:pPr>
              <w:spacing w:after="0" w:line="240" w:lineRule="auto"/>
              <w:jc w:val="center"/>
              <w:rPr>
                <w:rFonts w:ascii="Times New Roman" w:eastAsia="Times New Roman" w:hAnsi="Times New Roman" w:cs="Times New Roman"/>
                <w:color w:val="000000"/>
                <w:sz w:val="24"/>
                <w:szCs w:val="24"/>
              </w:rPr>
            </w:pPr>
            <w:r w:rsidRPr="00F457FE">
              <w:rPr>
                <w:rFonts w:ascii="Times New Roman" w:eastAsia="Times New Roman" w:hAnsi="Times New Roman" w:cs="Times New Roman"/>
                <w:color w:val="000000"/>
                <w:sz w:val="24"/>
                <w:szCs w:val="24"/>
              </w:rPr>
              <w:t>Ho</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E1B" w:rsidRPr="00F457FE" w:rsidRDefault="007F1E1B" w:rsidP="00984A40">
            <w:pPr>
              <w:spacing w:after="0" w:line="240" w:lineRule="auto"/>
              <w:jc w:val="center"/>
              <w:rPr>
                <w:rFonts w:ascii="Times New Roman" w:eastAsia="Times New Roman" w:hAnsi="Times New Roman" w:cs="Times New Roman"/>
                <w:color w:val="000000"/>
                <w:sz w:val="24"/>
                <w:szCs w:val="24"/>
              </w:rPr>
            </w:pPr>
            <w:r w:rsidRPr="00F457FE">
              <w:rPr>
                <w:rFonts w:ascii="Times New Roman" w:eastAsia="Times New Roman" w:hAnsi="Times New Roman" w:cs="Times New Roman"/>
                <w:color w:val="000000"/>
                <w:sz w:val="24"/>
                <w:szCs w:val="24"/>
              </w:rPr>
              <w:t>18</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E1B" w:rsidRPr="00F457FE" w:rsidRDefault="007F1E1B" w:rsidP="00984A40">
            <w:pPr>
              <w:spacing w:after="0" w:line="240" w:lineRule="auto"/>
              <w:jc w:val="center"/>
              <w:rPr>
                <w:rFonts w:ascii="Times New Roman" w:eastAsia="Times New Roman" w:hAnsi="Times New Roman" w:cs="Times New Roman"/>
                <w:color w:val="000000"/>
                <w:sz w:val="24"/>
                <w:szCs w:val="24"/>
              </w:rPr>
            </w:pPr>
            <w:r w:rsidRPr="00F457FE">
              <w:rPr>
                <w:rFonts w:ascii="Times New Roman" w:eastAsia="Times New Roman" w:hAnsi="Times New Roman" w:cs="Times New Roman"/>
                <w:color w:val="000000"/>
                <w:sz w:val="24"/>
                <w:szCs w:val="24"/>
              </w:rPr>
              <w:t>18</w:t>
            </w:r>
          </w:p>
        </w:tc>
        <w:tc>
          <w:tcPr>
            <w:tcW w:w="325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7F1E1B" w:rsidRPr="00F457FE" w:rsidRDefault="007F1E1B" w:rsidP="00984A40">
            <w:pPr>
              <w:spacing w:after="0" w:line="240" w:lineRule="auto"/>
              <w:jc w:val="center"/>
              <w:rPr>
                <w:rFonts w:ascii="Times New Roman" w:eastAsia="Times New Roman" w:hAnsi="Times New Roman" w:cs="Times New Roman"/>
                <w:color w:val="000000"/>
                <w:sz w:val="24"/>
                <w:szCs w:val="24"/>
              </w:rPr>
            </w:pPr>
            <w:r w:rsidRPr="00F457FE">
              <w:rPr>
                <w:rFonts w:ascii="Times New Roman" w:eastAsia="Times New Roman" w:hAnsi="Times New Roman" w:cs="Times New Roman"/>
                <w:color w:val="000000"/>
                <w:sz w:val="24"/>
                <w:szCs w:val="24"/>
              </w:rPr>
              <w:t>0.0</w:t>
            </w:r>
          </w:p>
        </w:tc>
      </w:tr>
      <w:tr w:rsidR="007F1E1B" w:rsidRPr="00F457FE" w:rsidTr="00984A40">
        <w:trPr>
          <w:trHeight w:val="320"/>
        </w:trPr>
        <w:tc>
          <w:tcPr>
            <w:tcW w:w="171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F1E1B" w:rsidRPr="00F457FE" w:rsidRDefault="007F1E1B" w:rsidP="00984A40">
            <w:pPr>
              <w:spacing w:after="0" w:line="240" w:lineRule="auto"/>
              <w:jc w:val="center"/>
              <w:rPr>
                <w:rFonts w:ascii="Times New Roman" w:eastAsia="Times New Roman" w:hAnsi="Times New Roman" w:cs="Times New Roman"/>
                <w:color w:val="000000"/>
                <w:sz w:val="24"/>
                <w:szCs w:val="24"/>
              </w:rPr>
            </w:pPr>
            <w:r w:rsidRPr="00F457FE">
              <w:rPr>
                <w:rFonts w:ascii="Times New Roman" w:eastAsia="Times New Roman" w:hAnsi="Times New Roman" w:cs="Times New Roman"/>
                <w:color w:val="000000"/>
                <w:sz w:val="24"/>
                <w:szCs w:val="24"/>
              </w:rPr>
              <w:t>Keta</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E1B" w:rsidRPr="00F457FE" w:rsidRDefault="007F1E1B" w:rsidP="00984A40">
            <w:pPr>
              <w:spacing w:after="0" w:line="240" w:lineRule="auto"/>
              <w:jc w:val="center"/>
              <w:rPr>
                <w:rFonts w:ascii="Times New Roman" w:eastAsia="Times New Roman" w:hAnsi="Times New Roman" w:cs="Times New Roman"/>
                <w:color w:val="000000"/>
                <w:sz w:val="24"/>
                <w:szCs w:val="24"/>
              </w:rPr>
            </w:pPr>
            <w:r w:rsidRPr="00F457FE">
              <w:rPr>
                <w:rFonts w:ascii="Times New Roman" w:eastAsia="Times New Roman" w:hAnsi="Times New Roman" w:cs="Times New Roman"/>
                <w:color w:val="000000"/>
                <w:sz w:val="24"/>
                <w:szCs w:val="24"/>
              </w:rPr>
              <w:t>18</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E1B" w:rsidRPr="00F457FE" w:rsidRDefault="007F1E1B" w:rsidP="00984A40">
            <w:pPr>
              <w:spacing w:after="0" w:line="240" w:lineRule="auto"/>
              <w:jc w:val="center"/>
              <w:rPr>
                <w:rFonts w:ascii="Times New Roman" w:eastAsia="Times New Roman" w:hAnsi="Times New Roman" w:cs="Times New Roman"/>
                <w:color w:val="000000"/>
                <w:sz w:val="24"/>
                <w:szCs w:val="24"/>
              </w:rPr>
            </w:pPr>
            <w:r w:rsidRPr="00F457FE">
              <w:rPr>
                <w:rFonts w:ascii="Times New Roman" w:eastAsia="Times New Roman" w:hAnsi="Times New Roman" w:cs="Times New Roman"/>
                <w:color w:val="000000"/>
                <w:sz w:val="24"/>
                <w:szCs w:val="24"/>
              </w:rPr>
              <w:t>7</w:t>
            </w:r>
          </w:p>
        </w:tc>
        <w:tc>
          <w:tcPr>
            <w:tcW w:w="325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7F1E1B" w:rsidRPr="00F457FE" w:rsidRDefault="00DA64E0" w:rsidP="00984A40">
            <w:pPr>
              <w:spacing w:after="0" w:line="240" w:lineRule="auto"/>
              <w:jc w:val="center"/>
              <w:rPr>
                <w:rFonts w:ascii="Times New Roman" w:eastAsia="Times New Roman" w:hAnsi="Times New Roman" w:cs="Times New Roman"/>
                <w:color w:val="000000"/>
                <w:sz w:val="24"/>
                <w:szCs w:val="24"/>
              </w:rPr>
            </w:pPr>
            <w:r w:rsidRPr="00F457FE">
              <w:rPr>
                <w:rFonts w:ascii="Times New Roman" w:eastAsia="Times New Roman" w:hAnsi="Times New Roman" w:cs="Times New Roman"/>
                <w:color w:val="000000"/>
                <w:sz w:val="24"/>
                <w:szCs w:val="24"/>
              </w:rPr>
              <w:t>-61</w:t>
            </w:r>
            <w:r w:rsidR="007F1E1B" w:rsidRPr="00F457FE">
              <w:rPr>
                <w:rFonts w:ascii="Times New Roman" w:eastAsia="Times New Roman" w:hAnsi="Times New Roman" w:cs="Times New Roman"/>
                <w:color w:val="000000"/>
                <w:sz w:val="24"/>
                <w:szCs w:val="24"/>
              </w:rPr>
              <w:t>.1</w:t>
            </w:r>
          </w:p>
        </w:tc>
      </w:tr>
      <w:tr w:rsidR="007F1E1B" w:rsidRPr="00F457FE" w:rsidTr="00984A40">
        <w:trPr>
          <w:trHeight w:val="320"/>
        </w:trPr>
        <w:tc>
          <w:tcPr>
            <w:tcW w:w="171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F1E1B" w:rsidRPr="00F457FE" w:rsidRDefault="007F1E1B" w:rsidP="00984A40">
            <w:pPr>
              <w:spacing w:after="0" w:line="240" w:lineRule="auto"/>
              <w:jc w:val="center"/>
              <w:rPr>
                <w:rFonts w:ascii="Times New Roman" w:eastAsia="Times New Roman" w:hAnsi="Times New Roman" w:cs="Times New Roman"/>
                <w:color w:val="000000"/>
                <w:sz w:val="24"/>
                <w:szCs w:val="24"/>
              </w:rPr>
            </w:pPr>
            <w:r w:rsidRPr="00F457FE">
              <w:rPr>
                <w:rFonts w:ascii="Times New Roman" w:eastAsia="Times New Roman" w:hAnsi="Times New Roman" w:cs="Times New Roman"/>
                <w:color w:val="000000"/>
                <w:sz w:val="24"/>
                <w:szCs w:val="24"/>
              </w:rPr>
              <w:t>Tongu</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E1B" w:rsidRPr="00F457FE" w:rsidRDefault="007F1E1B" w:rsidP="00984A40">
            <w:pPr>
              <w:spacing w:after="0" w:line="240" w:lineRule="auto"/>
              <w:jc w:val="center"/>
              <w:rPr>
                <w:rFonts w:ascii="Times New Roman" w:eastAsia="Times New Roman" w:hAnsi="Times New Roman" w:cs="Times New Roman"/>
                <w:color w:val="000000"/>
                <w:sz w:val="24"/>
                <w:szCs w:val="24"/>
              </w:rPr>
            </w:pPr>
            <w:r w:rsidRPr="00F457FE">
              <w:rPr>
                <w:rFonts w:ascii="Times New Roman" w:eastAsia="Times New Roman" w:hAnsi="Times New Roman" w:cs="Times New Roman"/>
                <w:color w:val="000000"/>
                <w:sz w:val="24"/>
                <w:szCs w:val="24"/>
              </w:rPr>
              <w:t>14</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E1B" w:rsidRPr="00F457FE" w:rsidRDefault="007F1E1B" w:rsidP="00984A40">
            <w:pPr>
              <w:spacing w:after="0" w:line="240" w:lineRule="auto"/>
              <w:jc w:val="center"/>
              <w:rPr>
                <w:rFonts w:ascii="Times New Roman" w:eastAsia="Times New Roman" w:hAnsi="Times New Roman" w:cs="Times New Roman"/>
                <w:color w:val="000000"/>
                <w:sz w:val="24"/>
                <w:szCs w:val="24"/>
              </w:rPr>
            </w:pPr>
            <w:r w:rsidRPr="00F457FE">
              <w:rPr>
                <w:rFonts w:ascii="Times New Roman" w:eastAsia="Times New Roman" w:hAnsi="Times New Roman" w:cs="Times New Roman"/>
                <w:color w:val="000000"/>
                <w:sz w:val="24"/>
                <w:szCs w:val="24"/>
              </w:rPr>
              <w:t>18</w:t>
            </w:r>
          </w:p>
        </w:tc>
        <w:tc>
          <w:tcPr>
            <w:tcW w:w="325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7F1E1B" w:rsidRPr="00F457FE" w:rsidRDefault="007F1E1B" w:rsidP="00984A40">
            <w:pPr>
              <w:spacing w:after="0" w:line="240" w:lineRule="auto"/>
              <w:jc w:val="center"/>
              <w:rPr>
                <w:rFonts w:ascii="Times New Roman" w:eastAsia="Times New Roman" w:hAnsi="Times New Roman" w:cs="Times New Roman"/>
                <w:color w:val="000000"/>
                <w:sz w:val="24"/>
                <w:szCs w:val="24"/>
              </w:rPr>
            </w:pPr>
            <w:r w:rsidRPr="00F457FE">
              <w:rPr>
                <w:rFonts w:ascii="Times New Roman" w:eastAsia="Times New Roman" w:hAnsi="Times New Roman" w:cs="Times New Roman"/>
                <w:color w:val="000000"/>
                <w:sz w:val="24"/>
                <w:szCs w:val="24"/>
              </w:rPr>
              <w:t>22.2</w:t>
            </w:r>
          </w:p>
        </w:tc>
      </w:tr>
      <w:tr w:rsidR="007F1E1B" w:rsidRPr="00F457FE" w:rsidTr="00984A40">
        <w:trPr>
          <w:trHeight w:val="320"/>
        </w:trPr>
        <w:tc>
          <w:tcPr>
            <w:tcW w:w="171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F1E1B" w:rsidRPr="00F457FE" w:rsidRDefault="007F1E1B" w:rsidP="00984A40">
            <w:pPr>
              <w:spacing w:after="0" w:line="240" w:lineRule="auto"/>
              <w:jc w:val="center"/>
              <w:rPr>
                <w:rFonts w:ascii="Times New Roman" w:eastAsia="Times New Roman" w:hAnsi="Times New Roman" w:cs="Times New Roman"/>
                <w:color w:val="000000"/>
                <w:sz w:val="24"/>
                <w:szCs w:val="24"/>
              </w:rPr>
            </w:pPr>
            <w:r w:rsidRPr="00F457FE">
              <w:rPr>
                <w:rFonts w:ascii="Times New Roman" w:eastAsia="Times New Roman" w:hAnsi="Times New Roman" w:cs="Times New Roman"/>
                <w:color w:val="000000"/>
                <w:sz w:val="24"/>
                <w:szCs w:val="24"/>
              </w:rPr>
              <w:t>Hohoe</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E1B" w:rsidRPr="00F457FE" w:rsidRDefault="007F1E1B" w:rsidP="00984A40">
            <w:pPr>
              <w:spacing w:after="0" w:line="240" w:lineRule="auto"/>
              <w:jc w:val="center"/>
              <w:rPr>
                <w:rFonts w:ascii="Times New Roman" w:eastAsia="Times New Roman" w:hAnsi="Times New Roman" w:cs="Times New Roman"/>
                <w:color w:val="000000"/>
                <w:sz w:val="24"/>
                <w:szCs w:val="24"/>
              </w:rPr>
            </w:pPr>
            <w:r w:rsidRPr="00F457FE">
              <w:rPr>
                <w:rFonts w:ascii="Times New Roman" w:eastAsia="Times New Roman" w:hAnsi="Times New Roman" w:cs="Times New Roman"/>
                <w:color w:val="000000"/>
                <w:sz w:val="24"/>
                <w:szCs w:val="24"/>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E1B" w:rsidRPr="00F457FE" w:rsidRDefault="007F1E1B" w:rsidP="00984A40">
            <w:pPr>
              <w:spacing w:after="0" w:line="240" w:lineRule="auto"/>
              <w:jc w:val="center"/>
              <w:rPr>
                <w:rFonts w:ascii="Times New Roman" w:eastAsia="Times New Roman" w:hAnsi="Times New Roman" w:cs="Times New Roman"/>
                <w:color w:val="000000"/>
                <w:sz w:val="24"/>
                <w:szCs w:val="24"/>
              </w:rPr>
            </w:pPr>
            <w:r w:rsidRPr="00F457FE">
              <w:rPr>
                <w:rFonts w:ascii="Times New Roman" w:eastAsia="Times New Roman" w:hAnsi="Times New Roman" w:cs="Times New Roman"/>
                <w:color w:val="000000"/>
                <w:sz w:val="24"/>
                <w:szCs w:val="24"/>
              </w:rPr>
              <w:t>0</w:t>
            </w:r>
          </w:p>
        </w:tc>
        <w:tc>
          <w:tcPr>
            <w:tcW w:w="325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7F1E1B" w:rsidRPr="00F457FE" w:rsidRDefault="007F1E1B" w:rsidP="00984A40">
            <w:pPr>
              <w:spacing w:after="0" w:line="240" w:lineRule="auto"/>
              <w:jc w:val="center"/>
              <w:rPr>
                <w:rFonts w:ascii="Times New Roman" w:eastAsia="Times New Roman" w:hAnsi="Times New Roman" w:cs="Times New Roman"/>
                <w:color w:val="000000"/>
                <w:sz w:val="24"/>
                <w:szCs w:val="24"/>
              </w:rPr>
            </w:pPr>
            <w:r w:rsidRPr="00F457FE">
              <w:rPr>
                <w:rFonts w:ascii="Times New Roman" w:eastAsia="Times New Roman" w:hAnsi="Times New Roman" w:cs="Times New Roman"/>
                <w:color w:val="000000"/>
                <w:sz w:val="24"/>
                <w:szCs w:val="24"/>
              </w:rPr>
              <w:t>0.0</w:t>
            </w:r>
          </w:p>
        </w:tc>
      </w:tr>
      <w:tr w:rsidR="007F1E1B" w:rsidRPr="00F457FE" w:rsidTr="00984A40">
        <w:trPr>
          <w:trHeight w:val="320"/>
        </w:trPr>
        <w:tc>
          <w:tcPr>
            <w:tcW w:w="171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F1E1B" w:rsidRPr="00F457FE" w:rsidRDefault="007F1E1B" w:rsidP="00984A40">
            <w:pPr>
              <w:spacing w:after="0" w:line="240" w:lineRule="auto"/>
              <w:jc w:val="center"/>
              <w:rPr>
                <w:rFonts w:ascii="Times New Roman" w:eastAsia="Times New Roman" w:hAnsi="Times New Roman" w:cs="Times New Roman"/>
                <w:color w:val="000000"/>
                <w:sz w:val="24"/>
                <w:szCs w:val="24"/>
              </w:rPr>
            </w:pPr>
            <w:r w:rsidRPr="00F457FE">
              <w:rPr>
                <w:rFonts w:ascii="Times New Roman" w:eastAsia="Times New Roman" w:hAnsi="Times New Roman" w:cs="Times New Roman"/>
                <w:color w:val="000000"/>
                <w:sz w:val="24"/>
                <w:szCs w:val="24"/>
              </w:rPr>
              <w:t>Kpando</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E1B" w:rsidRPr="00F457FE" w:rsidRDefault="007F1E1B" w:rsidP="00984A40">
            <w:pPr>
              <w:spacing w:after="0" w:line="240" w:lineRule="auto"/>
              <w:jc w:val="center"/>
              <w:rPr>
                <w:rFonts w:ascii="Times New Roman" w:eastAsia="Times New Roman" w:hAnsi="Times New Roman" w:cs="Times New Roman"/>
                <w:color w:val="000000"/>
                <w:sz w:val="24"/>
                <w:szCs w:val="24"/>
              </w:rPr>
            </w:pPr>
            <w:r w:rsidRPr="00F457FE">
              <w:rPr>
                <w:rFonts w:ascii="Times New Roman" w:eastAsia="Times New Roman" w:hAnsi="Times New Roman" w:cs="Times New Roman"/>
                <w:color w:val="000000"/>
                <w:sz w:val="24"/>
                <w:szCs w:val="24"/>
              </w:rPr>
              <w:t>4</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E1B" w:rsidRPr="00F457FE" w:rsidRDefault="007F1E1B" w:rsidP="00984A40">
            <w:pPr>
              <w:spacing w:after="0" w:line="240" w:lineRule="auto"/>
              <w:jc w:val="center"/>
              <w:rPr>
                <w:rFonts w:ascii="Times New Roman" w:eastAsia="Times New Roman" w:hAnsi="Times New Roman" w:cs="Times New Roman"/>
                <w:color w:val="000000"/>
                <w:sz w:val="24"/>
                <w:szCs w:val="24"/>
              </w:rPr>
            </w:pPr>
            <w:r w:rsidRPr="00F457FE">
              <w:rPr>
                <w:rFonts w:ascii="Times New Roman" w:eastAsia="Times New Roman" w:hAnsi="Times New Roman" w:cs="Times New Roman"/>
                <w:color w:val="000000"/>
                <w:sz w:val="24"/>
                <w:szCs w:val="24"/>
              </w:rPr>
              <w:t>1</w:t>
            </w:r>
          </w:p>
        </w:tc>
        <w:tc>
          <w:tcPr>
            <w:tcW w:w="325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7F1E1B" w:rsidRPr="00F457FE" w:rsidRDefault="00DA64E0" w:rsidP="00984A40">
            <w:pPr>
              <w:spacing w:after="0" w:line="240" w:lineRule="auto"/>
              <w:jc w:val="center"/>
              <w:rPr>
                <w:rFonts w:ascii="Times New Roman" w:eastAsia="Times New Roman" w:hAnsi="Times New Roman" w:cs="Times New Roman"/>
                <w:color w:val="000000"/>
                <w:sz w:val="24"/>
                <w:szCs w:val="24"/>
              </w:rPr>
            </w:pPr>
            <w:r w:rsidRPr="00F457FE">
              <w:rPr>
                <w:rFonts w:ascii="Times New Roman" w:eastAsia="Times New Roman" w:hAnsi="Times New Roman" w:cs="Times New Roman"/>
                <w:color w:val="000000"/>
                <w:sz w:val="24"/>
                <w:szCs w:val="24"/>
              </w:rPr>
              <w:t>-75</w:t>
            </w:r>
            <w:r w:rsidR="007F1E1B" w:rsidRPr="00F457FE">
              <w:rPr>
                <w:rFonts w:ascii="Times New Roman" w:eastAsia="Times New Roman" w:hAnsi="Times New Roman" w:cs="Times New Roman"/>
                <w:color w:val="000000"/>
                <w:sz w:val="24"/>
                <w:szCs w:val="24"/>
              </w:rPr>
              <w:t>.0</w:t>
            </w:r>
          </w:p>
        </w:tc>
      </w:tr>
      <w:tr w:rsidR="007F1E1B" w:rsidRPr="00F457FE" w:rsidTr="00984A40">
        <w:trPr>
          <w:trHeight w:val="320"/>
        </w:trPr>
        <w:tc>
          <w:tcPr>
            <w:tcW w:w="171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F1E1B" w:rsidRPr="00F457FE" w:rsidRDefault="007F1E1B" w:rsidP="00984A40">
            <w:pPr>
              <w:spacing w:after="0" w:line="240" w:lineRule="auto"/>
              <w:jc w:val="center"/>
              <w:rPr>
                <w:rFonts w:ascii="Times New Roman" w:eastAsia="Times New Roman" w:hAnsi="Times New Roman" w:cs="Times New Roman"/>
                <w:color w:val="000000"/>
                <w:sz w:val="24"/>
                <w:szCs w:val="24"/>
              </w:rPr>
            </w:pPr>
            <w:r w:rsidRPr="00F457FE">
              <w:rPr>
                <w:rFonts w:ascii="Times New Roman" w:eastAsia="Times New Roman" w:hAnsi="Times New Roman" w:cs="Times New Roman"/>
                <w:color w:val="000000"/>
                <w:sz w:val="24"/>
                <w:szCs w:val="24"/>
              </w:rPr>
              <w:t>Ketu</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E1B" w:rsidRPr="00F457FE" w:rsidRDefault="007F1E1B" w:rsidP="00984A40">
            <w:pPr>
              <w:spacing w:after="0" w:line="240" w:lineRule="auto"/>
              <w:jc w:val="center"/>
              <w:rPr>
                <w:rFonts w:ascii="Times New Roman" w:eastAsia="Times New Roman" w:hAnsi="Times New Roman" w:cs="Times New Roman"/>
                <w:color w:val="000000"/>
                <w:sz w:val="24"/>
                <w:szCs w:val="24"/>
              </w:rPr>
            </w:pPr>
            <w:r w:rsidRPr="00F457FE">
              <w:rPr>
                <w:rFonts w:ascii="Times New Roman" w:eastAsia="Times New Roman" w:hAnsi="Times New Roman" w:cs="Times New Roman"/>
                <w:color w:val="000000"/>
                <w:sz w:val="24"/>
                <w:szCs w:val="24"/>
              </w:rPr>
              <w:t>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E1B" w:rsidRPr="00F457FE" w:rsidRDefault="007F1E1B" w:rsidP="00984A40">
            <w:pPr>
              <w:spacing w:after="0" w:line="240" w:lineRule="auto"/>
              <w:jc w:val="center"/>
              <w:rPr>
                <w:rFonts w:ascii="Times New Roman" w:eastAsia="Times New Roman" w:hAnsi="Times New Roman" w:cs="Times New Roman"/>
                <w:color w:val="000000"/>
                <w:sz w:val="24"/>
                <w:szCs w:val="24"/>
              </w:rPr>
            </w:pPr>
            <w:r w:rsidRPr="00F457FE">
              <w:rPr>
                <w:rFonts w:ascii="Times New Roman" w:eastAsia="Times New Roman" w:hAnsi="Times New Roman" w:cs="Times New Roman"/>
                <w:color w:val="000000"/>
                <w:sz w:val="24"/>
                <w:szCs w:val="24"/>
              </w:rPr>
              <w:t>4</w:t>
            </w:r>
          </w:p>
        </w:tc>
        <w:tc>
          <w:tcPr>
            <w:tcW w:w="325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7F1E1B" w:rsidRPr="00F457FE" w:rsidRDefault="00DA64E0" w:rsidP="00984A40">
            <w:pPr>
              <w:spacing w:after="0" w:line="240" w:lineRule="auto"/>
              <w:jc w:val="center"/>
              <w:rPr>
                <w:rFonts w:ascii="Times New Roman" w:eastAsia="Times New Roman" w:hAnsi="Times New Roman" w:cs="Times New Roman"/>
                <w:color w:val="000000"/>
                <w:sz w:val="24"/>
                <w:szCs w:val="24"/>
              </w:rPr>
            </w:pPr>
            <w:r w:rsidRPr="00F457FE">
              <w:rPr>
                <w:rFonts w:ascii="Times New Roman" w:eastAsia="Times New Roman" w:hAnsi="Times New Roman" w:cs="Times New Roman"/>
                <w:color w:val="000000"/>
                <w:sz w:val="24"/>
                <w:szCs w:val="24"/>
              </w:rPr>
              <w:t>-6</w:t>
            </w:r>
            <w:r w:rsidR="007F1E1B" w:rsidRPr="00F457FE">
              <w:rPr>
                <w:rFonts w:ascii="Times New Roman" w:eastAsia="Times New Roman" w:hAnsi="Times New Roman" w:cs="Times New Roman"/>
                <w:color w:val="000000"/>
                <w:sz w:val="24"/>
                <w:szCs w:val="24"/>
              </w:rPr>
              <w:t>0.0</w:t>
            </w:r>
          </w:p>
        </w:tc>
      </w:tr>
      <w:tr w:rsidR="007F1E1B" w:rsidRPr="00F457FE" w:rsidTr="00984A40">
        <w:trPr>
          <w:trHeight w:val="310"/>
        </w:trPr>
        <w:tc>
          <w:tcPr>
            <w:tcW w:w="1716"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7F1E1B" w:rsidRPr="00F457FE" w:rsidRDefault="007F1E1B" w:rsidP="00984A40">
            <w:pPr>
              <w:spacing w:after="0" w:line="240" w:lineRule="auto"/>
              <w:jc w:val="center"/>
              <w:rPr>
                <w:rFonts w:ascii="Times New Roman" w:eastAsia="Times New Roman" w:hAnsi="Times New Roman" w:cs="Times New Roman"/>
                <w:b/>
                <w:bCs/>
                <w:color w:val="000000"/>
                <w:sz w:val="24"/>
                <w:szCs w:val="24"/>
              </w:rPr>
            </w:pPr>
            <w:r w:rsidRPr="00F457FE">
              <w:rPr>
                <w:rFonts w:ascii="Times New Roman" w:eastAsia="Times New Roman" w:hAnsi="Times New Roman" w:cs="Times New Roman"/>
                <w:b/>
                <w:bCs/>
                <w:color w:val="000000"/>
                <w:sz w:val="24"/>
                <w:szCs w:val="24"/>
              </w:rPr>
              <w:t>Total</w:t>
            </w:r>
          </w:p>
        </w:tc>
        <w:tc>
          <w:tcPr>
            <w:tcW w:w="1565"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7F1E1B" w:rsidRPr="00F457FE" w:rsidRDefault="007F1E1B" w:rsidP="00984A40">
            <w:pPr>
              <w:spacing w:after="0" w:line="240" w:lineRule="auto"/>
              <w:jc w:val="center"/>
              <w:rPr>
                <w:rFonts w:ascii="Times New Roman" w:eastAsia="Times New Roman" w:hAnsi="Times New Roman" w:cs="Times New Roman"/>
                <w:b/>
                <w:bCs/>
                <w:color w:val="000000"/>
                <w:sz w:val="24"/>
                <w:szCs w:val="24"/>
              </w:rPr>
            </w:pPr>
            <w:r w:rsidRPr="00F457FE">
              <w:rPr>
                <w:rFonts w:ascii="Times New Roman" w:eastAsia="Times New Roman" w:hAnsi="Times New Roman" w:cs="Times New Roman"/>
                <w:b/>
                <w:bCs/>
                <w:color w:val="000000"/>
                <w:sz w:val="24"/>
                <w:szCs w:val="24"/>
              </w:rPr>
              <w:t>64</w:t>
            </w:r>
          </w:p>
        </w:tc>
        <w:tc>
          <w:tcPr>
            <w:tcW w:w="1984"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7F1E1B" w:rsidRPr="00F457FE" w:rsidRDefault="007F1E1B" w:rsidP="00984A40">
            <w:pPr>
              <w:spacing w:after="0" w:line="240" w:lineRule="auto"/>
              <w:jc w:val="center"/>
              <w:rPr>
                <w:rFonts w:ascii="Times New Roman" w:eastAsia="Times New Roman" w:hAnsi="Times New Roman" w:cs="Times New Roman"/>
                <w:b/>
                <w:bCs/>
                <w:color w:val="000000"/>
                <w:sz w:val="24"/>
                <w:szCs w:val="24"/>
              </w:rPr>
            </w:pPr>
            <w:r w:rsidRPr="00F457FE">
              <w:rPr>
                <w:rFonts w:ascii="Times New Roman" w:eastAsia="Times New Roman" w:hAnsi="Times New Roman" w:cs="Times New Roman"/>
                <w:b/>
                <w:bCs/>
                <w:color w:val="000000"/>
                <w:sz w:val="24"/>
                <w:szCs w:val="24"/>
              </w:rPr>
              <w:t>48</w:t>
            </w:r>
          </w:p>
        </w:tc>
        <w:tc>
          <w:tcPr>
            <w:tcW w:w="3252"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7F1E1B" w:rsidRPr="00F457FE" w:rsidRDefault="007F1E1B" w:rsidP="00984A40">
            <w:pPr>
              <w:spacing w:after="0" w:line="240" w:lineRule="auto"/>
              <w:jc w:val="center"/>
              <w:rPr>
                <w:rFonts w:ascii="Times New Roman" w:eastAsia="Times New Roman" w:hAnsi="Times New Roman" w:cs="Times New Roman"/>
                <w:color w:val="000000"/>
                <w:sz w:val="24"/>
                <w:szCs w:val="24"/>
              </w:rPr>
            </w:pPr>
          </w:p>
        </w:tc>
      </w:tr>
    </w:tbl>
    <w:p w:rsidR="007F1E1B" w:rsidRPr="00F457FE" w:rsidRDefault="00596E68" w:rsidP="001D0B78">
      <w:pPr>
        <w:tabs>
          <w:tab w:val="left" w:pos="8455"/>
        </w:tabs>
        <w:rPr>
          <w:rFonts w:ascii="Times New Roman" w:hAnsi="Times New Roman" w:cs="Times New Roman"/>
          <w:sz w:val="24"/>
          <w:szCs w:val="24"/>
        </w:rPr>
      </w:pPr>
      <w:r w:rsidRPr="00F457FE">
        <w:rPr>
          <w:rFonts w:ascii="Times New Roman" w:hAnsi="Times New Roman" w:cs="Times New Roman"/>
          <w:sz w:val="24"/>
          <w:szCs w:val="24"/>
        </w:rPr>
        <w:t xml:space="preserve">From table 6, Ho and Tongu divisions recorded 18 fatalities each with both divisions accounting for 75% of all fatalities within the region. Hohoe division recorded no fatality. </w:t>
      </w:r>
    </w:p>
    <w:p w:rsidR="007F1E1B" w:rsidRPr="00F457FE" w:rsidRDefault="00596E68" w:rsidP="00A26494">
      <w:pPr>
        <w:rPr>
          <w:rFonts w:ascii="Times New Roman" w:hAnsi="Times New Roman" w:cs="Times New Roman"/>
          <w:sz w:val="24"/>
          <w:szCs w:val="24"/>
        </w:rPr>
      </w:pPr>
      <w:r w:rsidRPr="00F457FE">
        <w:rPr>
          <w:rFonts w:ascii="Times New Roman" w:hAnsi="Times New Roman" w:cs="Times New Roman"/>
          <w:sz w:val="24"/>
          <w:szCs w:val="24"/>
        </w:rPr>
        <w:t xml:space="preserve">Figure </w:t>
      </w:r>
      <w:r w:rsidR="00E20EED" w:rsidRPr="00F457FE">
        <w:rPr>
          <w:rFonts w:ascii="Times New Roman" w:hAnsi="Times New Roman" w:cs="Times New Roman"/>
          <w:sz w:val="24"/>
          <w:szCs w:val="24"/>
        </w:rPr>
        <w:t>5</w:t>
      </w:r>
      <w:r w:rsidR="00A26494" w:rsidRPr="00F457FE">
        <w:rPr>
          <w:rFonts w:ascii="Times New Roman" w:hAnsi="Times New Roman" w:cs="Times New Roman"/>
          <w:sz w:val="24"/>
          <w:szCs w:val="24"/>
        </w:rPr>
        <w:t xml:space="preserve">:  Divisional distribution of crashes </w:t>
      </w:r>
    </w:p>
    <w:p w:rsidR="007F1E1B" w:rsidRDefault="007F1E1B" w:rsidP="001D0B78">
      <w:pPr>
        <w:tabs>
          <w:tab w:val="left" w:pos="8455"/>
        </w:tabs>
      </w:pPr>
      <w:r>
        <w:rPr>
          <w:noProof/>
        </w:rPr>
        <w:drawing>
          <wp:inline distT="0" distB="0" distL="0" distR="0">
            <wp:extent cx="5486400" cy="32004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F1E1B" w:rsidRPr="00F457FE" w:rsidRDefault="00DA64E0" w:rsidP="001D0B78">
      <w:pPr>
        <w:tabs>
          <w:tab w:val="left" w:pos="8455"/>
        </w:tabs>
        <w:rPr>
          <w:rFonts w:ascii="Times New Roman" w:hAnsi="Times New Roman" w:cs="Times New Roman"/>
          <w:sz w:val="24"/>
          <w:szCs w:val="24"/>
        </w:rPr>
      </w:pPr>
      <w:r w:rsidRPr="00F457FE">
        <w:rPr>
          <w:rFonts w:ascii="Times New Roman" w:hAnsi="Times New Roman" w:cs="Times New Roman"/>
          <w:sz w:val="24"/>
          <w:szCs w:val="24"/>
        </w:rPr>
        <w:t>From figure 5, all the divisions generally recorded decrease in fatalities</w:t>
      </w:r>
      <w:r w:rsidR="00D148B6" w:rsidRPr="00F457FE">
        <w:rPr>
          <w:rFonts w:ascii="Times New Roman" w:hAnsi="Times New Roman" w:cs="Times New Roman"/>
          <w:sz w:val="24"/>
          <w:szCs w:val="24"/>
        </w:rPr>
        <w:t xml:space="preserve"> apart from the Tongu division which recorded an increase. </w:t>
      </w:r>
      <w:r w:rsidR="00460DCA" w:rsidRPr="00F457FE">
        <w:rPr>
          <w:rFonts w:ascii="Times New Roman" w:hAnsi="Times New Roman" w:cs="Times New Roman"/>
          <w:sz w:val="24"/>
          <w:szCs w:val="24"/>
        </w:rPr>
        <w:t xml:space="preserve">Ho division no change in fatalities as it recorded 18 fatalities for both 2022 and 2021. Keta division </w:t>
      </w:r>
      <w:r w:rsidR="0011133F" w:rsidRPr="00F457FE">
        <w:rPr>
          <w:rFonts w:ascii="Times New Roman" w:hAnsi="Times New Roman" w:cs="Times New Roman"/>
          <w:sz w:val="24"/>
          <w:szCs w:val="24"/>
        </w:rPr>
        <w:t>recorded the highest reduction with 61% decrease from 18 in 2021 to 7 in 2022. Tongu Division recorded a 22% increase in fatalities from 14 in 2021  to 18 in 2022.Kpando division recorded a 75% decrease in fatalities from 4 in 2021 to 1 in 2022. Ketu division recorded a 600% decrease in fatalities from 10 in 2021 to 4 in 2022. Hohoe recorded no fatalities for both 2021 and 2022.</w:t>
      </w:r>
    </w:p>
    <w:p w:rsidR="007F1E1B" w:rsidRDefault="00DA64E0" w:rsidP="001D0B78">
      <w:pPr>
        <w:tabs>
          <w:tab w:val="left" w:pos="8455"/>
        </w:tabs>
      </w:pPr>
      <w:r>
        <w:lastRenderedPageBreak/>
        <w:t xml:space="preserve"> </w:t>
      </w:r>
    </w:p>
    <w:p w:rsidR="00642836" w:rsidRPr="00F457FE" w:rsidRDefault="00D54795" w:rsidP="00F457FE">
      <w:pPr>
        <w:pStyle w:val="ListParagraph"/>
        <w:numPr>
          <w:ilvl w:val="0"/>
          <w:numId w:val="1"/>
        </w:numPr>
        <w:tabs>
          <w:tab w:val="left" w:pos="8455"/>
        </w:tabs>
        <w:ind w:left="1080"/>
        <w:rPr>
          <w:rFonts w:ascii="Times New Roman" w:hAnsi="Times New Roman" w:cs="Times New Roman"/>
          <w:b/>
          <w:sz w:val="24"/>
          <w:szCs w:val="24"/>
        </w:rPr>
      </w:pPr>
      <w:r w:rsidRPr="00F457FE">
        <w:rPr>
          <w:rFonts w:ascii="Times New Roman" w:hAnsi="Times New Roman" w:cs="Times New Roman"/>
          <w:b/>
          <w:sz w:val="24"/>
          <w:szCs w:val="24"/>
        </w:rPr>
        <w:t xml:space="preserve">Vehicles Involved in Crashes </w:t>
      </w:r>
    </w:p>
    <w:p w:rsidR="00F457FE" w:rsidRPr="00F457FE" w:rsidRDefault="00642836" w:rsidP="00F457FE">
      <w:pPr>
        <w:tabs>
          <w:tab w:val="left" w:pos="8455"/>
        </w:tabs>
        <w:ind w:left="360"/>
        <w:rPr>
          <w:rFonts w:ascii="Times New Roman" w:hAnsi="Times New Roman" w:cs="Times New Roman"/>
          <w:sz w:val="24"/>
          <w:szCs w:val="24"/>
        </w:rPr>
      </w:pPr>
      <w:r w:rsidRPr="00F457FE">
        <w:rPr>
          <w:rFonts w:ascii="Times New Roman" w:hAnsi="Times New Roman" w:cs="Times New Roman"/>
          <w:sz w:val="24"/>
          <w:szCs w:val="24"/>
        </w:rPr>
        <w:t>Figure 5</w:t>
      </w:r>
      <w:r w:rsidR="00D54795" w:rsidRPr="00F457FE">
        <w:rPr>
          <w:rFonts w:ascii="Times New Roman" w:hAnsi="Times New Roman" w:cs="Times New Roman"/>
          <w:sz w:val="24"/>
          <w:szCs w:val="24"/>
        </w:rPr>
        <w:t xml:space="preserve">: </w:t>
      </w:r>
      <w:r w:rsidR="00CB6368" w:rsidRPr="00F457FE">
        <w:rPr>
          <w:rFonts w:ascii="Times New Roman" w:hAnsi="Times New Roman" w:cs="Times New Roman"/>
          <w:sz w:val="24"/>
          <w:szCs w:val="24"/>
        </w:rPr>
        <w:t>Vehicle types involved in crashes from January to June 2022.</w:t>
      </w:r>
      <w:r w:rsidRPr="00F457FE">
        <w:rPr>
          <w:rFonts w:ascii="Times New Roman" w:hAnsi="Times New Roman" w:cs="Times New Roman"/>
          <w:sz w:val="24"/>
          <w:szCs w:val="24"/>
        </w:rPr>
        <w:t xml:space="preserve">  </w:t>
      </w:r>
    </w:p>
    <w:p w:rsidR="00642836" w:rsidRDefault="00642836" w:rsidP="00642836">
      <w:pPr>
        <w:tabs>
          <w:tab w:val="left" w:pos="8455"/>
        </w:tabs>
      </w:pPr>
      <w:r>
        <w:rPr>
          <w:noProof/>
        </w:rPr>
        <w:drawing>
          <wp:inline distT="0" distB="0" distL="0" distR="0" wp14:anchorId="3ED50DDC" wp14:editId="0E818A04">
            <wp:extent cx="5486400" cy="32004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64B7E" w:rsidRDefault="00642836" w:rsidP="001D0B78">
      <w:pPr>
        <w:tabs>
          <w:tab w:val="left" w:pos="8455"/>
        </w:tabs>
        <w:rPr>
          <w:rFonts w:ascii="Times New Roman" w:hAnsi="Times New Roman" w:cs="Times New Roman"/>
          <w:sz w:val="24"/>
          <w:szCs w:val="24"/>
        </w:rPr>
      </w:pPr>
      <w:r w:rsidRPr="00F457FE">
        <w:rPr>
          <w:rFonts w:ascii="Times New Roman" w:hAnsi="Times New Roman" w:cs="Times New Roman"/>
          <w:sz w:val="24"/>
          <w:szCs w:val="24"/>
        </w:rPr>
        <w:t xml:space="preserve">From figure 5, there was a total of 318 vehicles were involved in crashes in the first half of 2022. Motorcycles were the vehicles most involved in crashes with 125 motorcycles representing 40%, Private vehicles recorded 121 vehicles </w:t>
      </w:r>
      <w:r w:rsidR="004810F9" w:rsidRPr="00F457FE">
        <w:rPr>
          <w:rFonts w:ascii="Times New Roman" w:hAnsi="Times New Roman" w:cs="Times New Roman"/>
          <w:sz w:val="24"/>
          <w:szCs w:val="24"/>
        </w:rPr>
        <w:t>representing 38%</w:t>
      </w:r>
      <w:r w:rsidRPr="00F457FE">
        <w:rPr>
          <w:rFonts w:ascii="Times New Roman" w:hAnsi="Times New Roman" w:cs="Times New Roman"/>
          <w:sz w:val="24"/>
          <w:szCs w:val="24"/>
        </w:rPr>
        <w:t xml:space="preserve"> and commercial vehicles recorded 71 crashes with 22% of all crashes.</w:t>
      </w:r>
    </w:p>
    <w:p w:rsidR="005A13E1" w:rsidRPr="00F457FE" w:rsidRDefault="005A13E1" w:rsidP="001D0B78">
      <w:pPr>
        <w:tabs>
          <w:tab w:val="left" w:pos="8455"/>
        </w:tabs>
        <w:rPr>
          <w:rFonts w:ascii="Times New Roman" w:hAnsi="Times New Roman" w:cs="Times New Roman"/>
          <w:sz w:val="24"/>
          <w:szCs w:val="24"/>
        </w:rPr>
      </w:pPr>
    </w:p>
    <w:p w:rsidR="00F457FE" w:rsidRDefault="00F457FE" w:rsidP="00F457FE">
      <w:pPr>
        <w:pStyle w:val="ListParagraph"/>
        <w:numPr>
          <w:ilvl w:val="0"/>
          <w:numId w:val="1"/>
        </w:numPr>
        <w:tabs>
          <w:tab w:val="left" w:pos="8455"/>
        </w:tabs>
        <w:rPr>
          <w:rFonts w:ascii="Times New Roman" w:hAnsi="Times New Roman" w:cs="Times New Roman"/>
          <w:b/>
          <w:sz w:val="24"/>
          <w:szCs w:val="24"/>
        </w:rPr>
      </w:pPr>
      <w:r w:rsidRPr="00F457FE">
        <w:rPr>
          <w:rFonts w:ascii="Times New Roman" w:hAnsi="Times New Roman" w:cs="Times New Roman"/>
          <w:b/>
          <w:sz w:val="24"/>
          <w:szCs w:val="24"/>
        </w:rPr>
        <w:t>Persons Killed</w:t>
      </w:r>
      <w:r>
        <w:rPr>
          <w:rFonts w:ascii="Times New Roman" w:hAnsi="Times New Roman" w:cs="Times New Roman"/>
          <w:b/>
          <w:sz w:val="24"/>
          <w:szCs w:val="24"/>
        </w:rPr>
        <w:t xml:space="preserve"> and Injured</w:t>
      </w:r>
      <w:r w:rsidRPr="00F457FE">
        <w:rPr>
          <w:rFonts w:ascii="Times New Roman" w:hAnsi="Times New Roman" w:cs="Times New Roman"/>
          <w:b/>
          <w:sz w:val="24"/>
          <w:szCs w:val="24"/>
        </w:rPr>
        <w:t xml:space="preserve"> by Vehicle types</w:t>
      </w:r>
    </w:p>
    <w:p w:rsidR="005A13E1" w:rsidRDefault="005A13E1" w:rsidP="005A13E1">
      <w:pPr>
        <w:ind w:left="8505" w:hanging="8455"/>
        <w:rPr>
          <w:rFonts w:ascii="Times New Roman" w:hAnsi="Times New Roman" w:cs="Times New Roman"/>
          <w:sz w:val="24"/>
          <w:szCs w:val="24"/>
        </w:rPr>
      </w:pPr>
      <w:r>
        <w:rPr>
          <w:rFonts w:ascii="Times New Roman" w:hAnsi="Times New Roman" w:cs="Times New Roman"/>
          <w:sz w:val="24"/>
          <w:szCs w:val="24"/>
        </w:rPr>
        <w:t xml:space="preserve">The numbers of persons killed and injured by the various vehicle types are illustrated in the </w:t>
      </w:r>
    </w:p>
    <w:p w:rsidR="005A13E1" w:rsidRDefault="005A13E1" w:rsidP="005A13E1">
      <w:pPr>
        <w:ind w:left="8505" w:hanging="8455"/>
        <w:rPr>
          <w:rFonts w:ascii="Times New Roman" w:hAnsi="Times New Roman" w:cs="Times New Roman"/>
          <w:sz w:val="24"/>
          <w:szCs w:val="24"/>
        </w:rPr>
      </w:pPr>
      <w:r>
        <w:rPr>
          <w:rFonts w:ascii="Times New Roman" w:hAnsi="Times New Roman" w:cs="Times New Roman"/>
          <w:sz w:val="24"/>
          <w:szCs w:val="24"/>
        </w:rPr>
        <w:t>figures below.</w:t>
      </w:r>
    </w:p>
    <w:p w:rsidR="005A13E1" w:rsidRDefault="005A13E1" w:rsidP="005A13E1">
      <w:pPr>
        <w:ind w:left="8505" w:hanging="8455"/>
        <w:rPr>
          <w:rFonts w:ascii="Times New Roman" w:hAnsi="Times New Roman" w:cs="Times New Roman"/>
          <w:sz w:val="24"/>
          <w:szCs w:val="24"/>
        </w:rPr>
      </w:pPr>
    </w:p>
    <w:p w:rsidR="005A13E1" w:rsidRDefault="005A13E1" w:rsidP="005A13E1">
      <w:pPr>
        <w:ind w:left="8505" w:hanging="8455"/>
        <w:rPr>
          <w:rFonts w:ascii="Times New Roman" w:hAnsi="Times New Roman" w:cs="Times New Roman"/>
          <w:sz w:val="24"/>
          <w:szCs w:val="24"/>
        </w:rPr>
      </w:pPr>
    </w:p>
    <w:p w:rsidR="005A13E1" w:rsidRDefault="005A13E1" w:rsidP="005A13E1">
      <w:pPr>
        <w:ind w:left="8505" w:hanging="8455"/>
        <w:rPr>
          <w:rFonts w:ascii="Times New Roman" w:hAnsi="Times New Roman" w:cs="Times New Roman"/>
          <w:sz w:val="24"/>
          <w:szCs w:val="24"/>
        </w:rPr>
      </w:pPr>
    </w:p>
    <w:p w:rsidR="005A13E1" w:rsidRDefault="005A13E1" w:rsidP="005A13E1">
      <w:pPr>
        <w:ind w:left="8505" w:hanging="8455"/>
        <w:rPr>
          <w:rFonts w:ascii="Times New Roman" w:hAnsi="Times New Roman" w:cs="Times New Roman"/>
          <w:sz w:val="24"/>
          <w:szCs w:val="24"/>
        </w:rPr>
      </w:pPr>
    </w:p>
    <w:p w:rsidR="005A13E1" w:rsidRDefault="005A13E1" w:rsidP="005A13E1">
      <w:pPr>
        <w:ind w:left="8505" w:hanging="8455"/>
        <w:rPr>
          <w:rFonts w:ascii="Times New Roman" w:hAnsi="Times New Roman" w:cs="Times New Roman"/>
          <w:sz w:val="24"/>
          <w:szCs w:val="24"/>
        </w:rPr>
      </w:pPr>
    </w:p>
    <w:p w:rsidR="005A13E1" w:rsidRDefault="005A13E1" w:rsidP="005A13E1">
      <w:pPr>
        <w:ind w:left="8505" w:hanging="8455"/>
        <w:rPr>
          <w:rFonts w:ascii="Times New Roman" w:hAnsi="Times New Roman" w:cs="Times New Roman"/>
          <w:sz w:val="24"/>
          <w:szCs w:val="24"/>
        </w:rPr>
      </w:pPr>
    </w:p>
    <w:p w:rsidR="005A13E1" w:rsidRPr="005A13E1" w:rsidRDefault="005A13E1" w:rsidP="005A13E1">
      <w:pPr>
        <w:ind w:left="8505" w:hanging="8455"/>
        <w:rPr>
          <w:rFonts w:ascii="Times New Roman" w:hAnsi="Times New Roman" w:cs="Times New Roman"/>
          <w:sz w:val="24"/>
          <w:szCs w:val="24"/>
        </w:rPr>
      </w:pPr>
      <w:r>
        <w:rPr>
          <w:rFonts w:ascii="Times New Roman" w:hAnsi="Times New Roman" w:cs="Times New Roman"/>
          <w:sz w:val="24"/>
          <w:szCs w:val="24"/>
        </w:rPr>
        <w:t>Figure 6: Persons Killed by Vehicle types</w:t>
      </w:r>
    </w:p>
    <w:p w:rsidR="00F457FE" w:rsidRDefault="00E52625" w:rsidP="00F457FE">
      <w:pPr>
        <w:tabs>
          <w:tab w:val="left" w:pos="8455"/>
        </w:tabs>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948127" cy="3096285"/>
            <wp:effectExtent l="0" t="0" r="14605" b="2794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305CF" w:rsidRPr="005A13E1" w:rsidRDefault="005A13E1" w:rsidP="00F457FE">
      <w:pPr>
        <w:tabs>
          <w:tab w:val="left" w:pos="8455"/>
        </w:tabs>
        <w:rPr>
          <w:rFonts w:ascii="Times New Roman" w:hAnsi="Times New Roman" w:cs="Times New Roman"/>
          <w:sz w:val="24"/>
          <w:szCs w:val="24"/>
        </w:rPr>
      </w:pPr>
      <w:r w:rsidRPr="005A13E1">
        <w:rPr>
          <w:rFonts w:ascii="Times New Roman" w:hAnsi="Times New Roman" w:cs="Times New Roman"/>
          <w:sz w:val="24"/>
          <w:szCs w:val="24"/>
        </w:rPr>
        <w:t>Figure 7: Persons injured by vehicle types</w:t>
      </w:r>
    </w:p>
    <w:p w:rsidR="009D74F3" w:rsidRPr="00F457FE" w:rsidRDefault="009D74F3" w:rsidP="00F457FE">
      <w:pPr>
        <w:tabs>
          <w:tab w:val="left" w:pos="8455"/>
        </w:tabs>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6FEEA927" wp14:editId="31DC405E">
            <wp:extent cx="5948127" cy="3087232"/>
            <wp:effectExtent l="0" t="0" r="14605" b="1841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457FE" w:rsidRDefault="005A13E1" w:rsidP="001D0B78">
      <w:pPr>
        <w:tabs>
          <w:tab w:val="left" w:pos="8455"/>
        </w:tabs>
        <w:rPr>
          <w:rFonts w:ascii="Times New Roman" w:hAnsi="Times New Roman" w:cs="Times New Roman"/>
          <w:sz w:val="24"/>
          <w:szCs w:val="24"/>
        </w:rPr>
      </w:pPr>
      <w:r>
        <w:rPr>
          <w:rFonts w:ascii="Times New Roman" w:hAnsi="Times New Roman" w:cs="Times New Roman"/>
          <w:sz w:val="24"/>
          <w:szCs w:val="24"/>
        </w:rPr>
        <w:t>From figure 6 and 7 above,</w:t>
      </w:r>
      <w:r w:rsidR="00CD3FF1">
        <w:rPr>
          <w:rFonts w:ascii="Times New Roman" w:hAnsi="Times New Roman" w:cs="Times New Roman"/>
          <w:sz w:val="24"/>
          <w:szCs w:val="24"/>
        </w:rPr>
        <w:t xml:space="preserve"> Out of the </w:t>
      </w:r>
      <w:r w:rsidR="00CD3FF1" w:rsidRPr="00CD3FF1">
        <w:rPr>
          <w:rFonts w:ascii="Times New Roman" w:hAnsi="Times New Roman" w:cs="Times New Roman"/>
          <w:b/>
          <w:sz w:val="24"/>
          <w:szCs w:val="24"/>
        </w:rPr>
        <w:t>48</w:t>
      </w:r>
      <w:r w:rsidR="00CD3FF1">
        <w:rPr>
          <w:rFonts w:ascii="Times New Roman" w:hAnsi="Times New Roman" w:cs="Times New Roman"/>
          <w:sz w:val="24"/>
          <w:szCs w:val="24"/>
        </w:rPr>
        <w:t xml:space="preserve"> fatalities and </w:t>
      </w:r>
      <w:r w:rsidR="00CD3FF1" w:rsidRPr="00CD3FF1">
        <w:rPr>
          <w:rFonts w:ascii="Times New Roman" w:hAnsi="Times New Roman" w:cs="Times New Roman"/>
          <w:b/>
          <w:sz w:val="24"/>
          <w:szCs w:val="24"/>
        </w:rPr>
        <w:t>133</w:t>
      </w:r>
      <w:r w:rsidR="00CD3FF1">
        <w:rPr>
          <w:rFonts w:ascii="Times New Roman" w:hAnsi="Times New Roman" w:cs="Times New Roman"/>
          <w:sz w:val="24"/>
          <w:szCs w:val="24"/>
        </w:rPr>
        <w:t xml:space="preserve"> injuries</w:t>
      </w:r>
      <w:r w:rsidR="00B970D0">
        <w:rPr>
          <w:rFonts w:ascii="Times New Roman" w:hAnsi="Times New Roman" w:cs="Times New Roman"/>
          <w:sz w:val="24"/>
          <w:szCs w:val="24"/>
        </w:rPr>
        <w:t xml:space="preserve"> reported from January to June 2022</w:t>
      </w:r>
      <w:r w:rsidR="00CD3FF1">
        <w:rPr>
          <w:rFonts w:ascii="Times New Roman" w:hAnsi="Times New Roman" w:cs="Times New Roman"/>
          <w:sz w:val="24"/>
          <w:szCs w:val="24"/>
        </w:rPr>
        <w:t xml:space="preserve">, Motorcycles contributed to the most fatalities, </w:t>
      </w:r>
      <w:r w:rsidR="00CD3FF1" w:rsidRPr="00CD3FF1">
        <w:rPr>
          <w:rFonts w:ascii="Times New Roman" w:hAnsi="Times New Roman" w:cs="Times New Roman"/>
          <w:b/>
          <w:sz w:val="24"/>
          <w:szCs w:val="24"/>
        </w:rPr>
        <w:t>29 (60%)</w:t>
      </w:r>
      <w:r w:rsidR="00CD3FF1">
        <w:rPr>
          <w:rFonts w:ascii="Times New Roman" w:hAnsi="Times New Roman" w:cs="Times New Roman"/>
          <w:sz w:val="24"/>
          <w:szCs w:val="24"/>
        </w:rPr>
        <w:t xml:space="preserve"> of fatalities and most injuries with </w:t>
      </w:r>
      <w:r w:rsidR="00CD3FF1" w:rsidRPr="00CD3FF1">
        <w:rPr>
          <w:rFonts w:ascii="Times New Roman" w:hAnsi="Times New Roman" w:cs="Times New Roman"/>
          <w:b/>
          <w:sz w:val="24"/>
          <w:szCs w:val="24"/>
        </w:rPr>
        <w:t>59</w:t>
      </w:r>
      <w:r w:rsidR="00CD3FF1">
        <w:rPr>
          <w:rFonts w:ascii="Times New Roman" w:hAnsi="Times New Roman" w:cs="Times New Roman"/>
          <w:sz w:val="24"/>
          <w:szCs w:val="24"/>
        </w:rPr>
        <w:t xml:space="preserve"> injuries </w:t>
      </w:r>
      <w:r w:rsidR="00CD3FF1" w:rsidRPr="00CD3FF1">
        <w:rPr>
          <w:rFonts w:ascii="Times New Roman" w:hAnsi="Times New Roman" w:cs="Times New Roman"/>
          <w:b/>
          <w:sz w:val="24"/>
          <w:szCs w:val="24"/>
        </w:rPr>
        <w:t>(44%).</w:t>
      </w:r>
      <w:r w:rsidR="00CD3FF1">
        <w:rPr>
          <w:rFonts w:ascii="Times New Roman" w:hAnsi="Times New Roman" w:cs="Times New Roman"/>
          <w:sz w:val="24"/>
          <w:szCs w:val="24"/>
        </w:rPr>
        <w:t xml:space="preserve"> Commercial ve</w:t>
      </w:r>
      <w:r w:rsidR="00B970D0">
        <w:rPr>
          <w:rFonts w:ascii="Times New Roman" w:hAnsi="Times New Roman" w:cs="Times New Roman"/>
          <w:sz w:val="24"/>
          <w:szCs w:val="24"/>
        </w:rPr>
        <w:t xml:space="preserve">hicles contributed to </w:t>
      </w:r>
      <w:r w:rsidR="00B970D0">
        <w:rPr>
          <w:rFonts w:ascii="Times New Roman" w:hAnsi="Times New Roman" w:cs="Times New Roman"/>
          <w:b/>
          <w:sz w:val="24"/>
          <w:szCs w:val="24"/>
        </w:rPr>
        <w:t xml:space="preserve">14 (29%) </w:t>
      </w:r>
      <w:r w:rsidR="00B970D0">
        <w:rPr>
          <w:rFonts w:ascii="Times New Roman" w:hAnsi="Times New Roman" w:cs="Times New Roman"/>
          <w:sz w:val="24"/>
          <w:szCs w:val="24"/>
        </w:rPr>
        <w:t xml:space="preserve">of fatalities and </w:t>
      </w:r>
      <w:r w:rsidR="00B970D0">
        <w:rPr>
          <w:rFonts w:ascii="Times New Roman" w:hAnsi="Times New Roman" w:cs="Times New Roman"/>
          <w:b/>
          <w:sz w:val="24"/>
          <w:szCs w:val="24"/>
        </w:rPr>
        <w:lastRenderedPageBreak/>
        <w:t xml:space="preserve">50 (38%) </w:t>
      </w:r>
      <w:r w:rsidR="00B970D0">
        <w:rPr>
          <w:rFonts w:ascii="Times New Roman" w:hAnsi="Times New Roman" w:cs="Times New Roman"/>
          <w:sz w:val="24"/>
          <w:szCs w:val="24"/>
        </w:rPr>
        <w:t xml:space="preserve">of injuries. Private Vehicles accounted </w:t>
      </w:r>
      <w:proofErr w:type="gramStart"/>
      <w:r w:rsidR="00B970D0">
        <w:rPr>
          <w:rFonts w:ascii="Times New Roman" w:hAnsi="Times New Roman" w:cs="Times New Roman"/>
          <w:sz w:val="24"/>
          <w:szCs w:val="24"/>
        </w:rPr>
        <w:t xml:space="preserve">for  </w:t>
      </w:r>
      <w:r w:rsidR="00B970D0">
        <w:rPr>
          <w:rFonts w:ascii="Times New Roman" w:hAnsi="Times New Roman" w:cs="Times New Roman"/>
          <w:b/>
          <w:sz w:val="24"/>
          <w:szCs w:val="24"/>
        </w:rPr>
        <w:t>5</w:t>
      </w:r>
      <w:proofErr w:type="gramEnd"/>
      <w:r w:rsidR="00B970D0">
        <w:rPr>
          <w:rFonts w:ascii="Times New Roman" w:hAnsi="Times New Roman" w:cs="Times New Roman"/>
          <w:b/>
          <w:sz w:val="24"/>
          <w:szCs w:val="24"/>
        </w:rPr>
        <w:t xml:space="preserve"> (11</w:t>
      </w:r>
      <w:r w:rsidR="00B970D0" w:rsidRPr="00B970D0">
        <w:rPr>
          <w:rFonts w:ascii="Times New Roman" w:hAnsi="Times New Roman" w:cs="Times New Roman"/>
          <w:sz w:val="24"/>
          <w:szCs w:val="24"/>
        </w:rPr>
        <w:t xml:space="preserve">%) of fatalities and </w:t>
      </w:r>
      <w:r w:rsidR="00B970D0" w:rsidRPr="00B970D0">
        <w:rPr>
          <w:rFonts w:ascii="Times New Roman" w:hAnsi="Times New Roman" w:cs="Times New Roman"/>
          <w:b/>
          <w:sz w:val="24"/>
          <w:szCs w:val="24"/>
        </w:rPr>
        <w:t>24 (18%)</w:t>
      </w:r>
      <w:r w:rsidR="00B970D0">
        <w:rPr>
          <w:rFonts w:ascii="Times New Roman" w:hAnsi="Times New Roman" w:cs="Times New Roman"/>
          <w:sz w:val="24"/>
          <w:szCs w:val="24"/>
        </w:rPr>
        <w:t xml:space="preserve"> of injuries </w:t>
      </w:r>
    </w:p>
    <w:p w:rsidR="00D2206A" w:rsidRPr="00B970D0" w:rsidRDefault="00D2206A" w:rsidP="001D0B78">
      <w:pPr>
        <w:tabs>
          <w:tab w:val="left" w:pos="8455"/>
        </w:tabs>
        <w:rPr>
          <w:rFonts w:ascii="Times New Roman" w:hAnsi="Times New Roman" w:cs="Times New Roman"/>
          <w:sz w:val="24"/>
          <w:szCs w:val="24"/>
        </w:rPr>
      </w:pPr>
    </w:p>
    <w:p w:rsidR="008D70FC" w:rsidRPr="008D70FC" w:rsidRDefault="008D70FC" w:rsidP="008D70FC">
      <w:pPr>
        <w:pStyle w:val="ListParagraph"/>
        <w:numPr>
          <w:ilvl w:val="0"/>
          <w:numId w:val="1"/>
        </w:numPr>
        <w:spacing w:after="160" w:line="360" w:lineRule="auto"/>
        <w:rPr>
          <w:rFonts w:ascii="Times New Roman" w:hAnsi="Times New Roman" w:cs="Times New Roman"/>
          <w:b/>
          <w:sz w:val="24"/>
          <w:szCs w:val="24"/>
        </w:rPr>
      </w:pPr>
      <w:r w:rsidRPr="008D70FC">
        <w:rPr>
          <w:rFonts w:ascii="Times New Roman" w:hAnsi="Times New Roman" w:cs="Times New Roman"/>
          <w:b/>
          <w:sz w:val="24"/>
          <w:szCs w:val="24"/>
        </w:rPr>
        <w:t xml:space="preserve">Distribution of Fatalities by Sex and Age  </w:t>
      </w:r>
    </w:p>
    <w:p w:rsidR="00164B7E" w:rsidRPr="008D70FC" w:rsidRDefault="008D70FC" w:rsidP="008D70FC">
      <w:pPr>
        <w:spacing w:line="360" w:lineRule="auto"/>
        <w:rPr>
          <w:rFonts w:ascii="Times New Roman" w:hAnsi="Times New Roman" w:cs="Times New Roman"/>
          <w:sz w:val="24"/>
          <w:szCs w:val="24"/>
        </w:rPr>
      </w:pPr>
      <w:r w:rsidRPr="008D70FC">
        <w:rPr>
          <w:rFonts w:ascii="Times New Roman" w:hAnsi="Times New Roman" w:cs="Times New Roman"/>
          <w:sz w:val="24"/>
          <w:szCs w:val="24"/>
        </w:rPr>
        <w:t>The distribution of fatalities by s</w:t>
      </w:r>
      <w:r w:rsidR="000131E9">
        <w:rPr>
          <w:rFonts w:ascii="Times New Roman" w:hAnsi="Times New Roman" w:cs="Times New Roman"/>
          <w:sz w:val="24"/>
          <w:szCs w:val="24"/>
        </w:rPr>
        <w:t>ex and age is shown in Figures 8 and 9</w:t>
      </w:r>
      <w:r w:rsidRPr="008D70FC">
        <w:rPr>
          <w:rFonts w:ascii="Times New Roman" w:hAnsi="Times New Roman" w:cs="Times New Roman"/>
          <w:sz w:val="24"/>
          <w:szCs w:val="24"/>
        </w:rPr>
        <w:t xml:space="preserve"> below respectively</w:t>
      </w:r>
    </w:p>
    <w:p w:rsidR="00164B7E" w:rsidRPr="008D70FC" w:rsidRDefault="00164B7E" w:rsidP="001D0B78">
      <w:pPr>
        <w:tabs>
          <w:tab w:val="left" w:pos="8455"/>
        </w:tabs>
        <w:rPr>
          <w:rFonts w:ascii="Times New Roman" w:hAnsi="Times New Roman" w:cs="Times New Roman"/>
          <w:sz w:val="24"/>
          <w:szCs w:val="24"/>
        </w:rPr>
      </w:pPr>
      <w:r w:rsidRPr="008D70FC">
        <w:rPr>
          <w:rFonts w:ascii="Times New Roman" w:hAnsi="Times New Roman" w:cs="Times New Roman"/>
          <w:sz w:val="24"/>
          <w:szCs w:val="24"/>
        </w:rPr>
        <w:t xml:space="preserve">Figure </w:t>
      </w:r>
      <w:r w:rsidR="000131E9">
        <w:rPr>
          <w:rFonts w:ascii="Times New Roman" w:hAnsi="Times New Roman" w:cs="Times New Roman"/>
          <w:sz w:val="24"/>
          <w:szCs w:val="24"/>
        </w:rPr>
        <w:t>8</w:t>
      </w:r>
      <w:r w:rsidR="008D70FC" w:rsidRPr="008D70FC">
        <w:rPr>
          <w:rFonts w:ascii="Times New Roman" w:hAnsi="Times New Roman" w:cs="Times New Roman"/>
          <w:sz w:val="24"/>
          <w:szCs w:val="24"/>
        </w:rPr>
        <w:t>: Distribution of fatalities by sex</w:t>
      </w:r>
    </w:p>
    <w:p w:rsidR="008732E5" w:rsidRDefault="002A3831">
      <w:r>
        <w:rPr>
          <w:noProof/>
        </w:rPr>
        <w:drawing>
          <wp:inline distT="0" distB="0" distL="0" distR="0" wp14:anchorId="400E261C" wp14:editId="79D8DA3C">
            <wp:extent cx="5486400" cy="1883121"/>
            <wp:effectExtent l="0" t="0" r="19050" b="222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46FC1" w:rsidRDefault="00946FC1" w:rsidP="00946FC1">
      <w:pPr>
        <w:spacing w:line="360" w:lineRule="auto"/>
        <w:jc w:val="both"/>
        <w:rPr>
          <w:rFonts w:ascii="Times New Roman" w:hAnsi="Times New Roman" w:cs="Times New Roman"/>
          <w:sz w:val="24"/>
          <w:lang w:val="en-GB"/>
        </w:rPr>
      </w:pPr>
      <w:r w:rsidRPr="00F21123">
        <w:rPr>
          <w:rFonts w:ascii="Times New Roman" w:hAnsi="Times New Roman" w:cs="Times New Roman"/>
          <w:sz w:val="24"/>
          <w:lang w:val="en-GB"/>
        </w:rPr>
        <w:t xml:space="preserve">From Figure 7 above, it is observed that male fatalities have outstripped the female fatalities by an approximate ratio of </w:t>
      </w:r>
      <w:r w:rsidR="004810F9">
        <w:rPr>
          <w:rFonts w:ascii="Times New Roman" w:hAnsi="Times New Roman" w:cs="Times New Roman"/>
          <w:b/>
          <w:sz w:val="24"/>
          <w:lang w:val="en-GB"/>
        </w:rPr>
        <w:t>(3.1</w:t>
      </w:r>
      <w:r w:rsidRPr="00F21123">
        <w:rPr>
          <w:rFonts w:ascii="Times New Roman" w:hAnsi="Times New Roman" w:cs="Times New Roman"/>
          <w:b/>
          <w:sz w:val="24"/>
          <w:lang w:val="en-GB"/>
        </w:rPr>
        <w:t>: 1</w:t>
      </w:r>
      <w:r w:rsidRPr="00F21123">
        <w:rPr>
          <w:rFonts w:ascii="Times New Roman" w:hAnsi="Times New Roman" w:cs="Times New Roman"/>
          <w:sz w:val="24"/>
          <w:lang w:val="en-GB"/>
        </w:rPr>
        <w:t xml:space="preserve">), implying that male fatalities are </w:t>
      </w:r>
      <w:r w:rsidR="004810F9">
        <w:rPr>
          <w:rFonts w:ascii="Times New Roman" w:hAnsi="Times New Roman" w:cs="Times New Roman"/>
          <w:sz w:val="24"/>
          <w:lang w:val="en-GB"/>
        </w:rPr>
        <w:t>highly over-represented (3</w:t>
      </w:r>
      <w:r w:rsidRPr="00F21123">
        <w:rPr>
          <w:rFonts w:ascii="Times New Roman" w:hAnsi="Times New Roman" w:cs="Times New Roman"/>
          <w:sz w:val="24"/>
          <w:lang w:val="en-GB"/>
        </w:rPr>
        <w:t xml:space="preserve"> times) in road traffic fatalities. This trend has not changed as compared to previous years.</w:t>
      </w:r>
    </w:p>
    <w:p w:rsidR="008732E5" w:rsidRPr="008D70FC" w:rsidRDefault="008D70FC" w:rsidP="008D70FC">
      <w:pPr>
        <w:tabs>
          <w:tab w:val="left" w:pos="8455"/>
        </w:tabs>
        <w:rPr>
          <w:rFonts w:ascii="Times New Roman" w:hAnsi="Times New Roman" w:cs="Times New Roman"/>
          <w:sz w:val="24"/>
          <w:szCs w:val="24"/>
        </w:rPr>
      </w:pPr>
      <w:r w:rsidRPr="008D70FC">
        <w:rPr>
          <w:rFonts w:ascii="Times New Roman" w:hAnsi="Times New Roman" w:cs="Times New Roman"/>
          <w:sz w:val="24"/>
          <w:szCs w:val="24"/>
        </w:rPr>
        <w:t xml:space="preserve">Figure </w:t>
      </w:r>
      <w:r w:rsidR="000131E9">
        <w:rPr>
          <w:rFonts w:ascii="Times New Roman" w:hAnsi="Times New Roman" w:cs="Times New Roman"/>
          <w:sz w:val="24"/>
          <w:szCs w:val="24"/>
        </w:rPr>
        <w:t>9</w:t>
      </w:r>
      <w:r w:rsidRPr="008D70FC">
        <w:rPr>
          <w:rFonts w:ascii="Times New Roman" w:hAnsi="Times New Roman" w:cs="Times New Roman"/>
          <w:sz w:val="24"/>
          <w:szCs w:val="24"/>
        </w:rPr>
        <w:t>: Distribution of fatalities by sex</w:t>
      </w:r>
    </w:p>
    <w:p w:rsidR="00D6391B" w:rsidRDefault="00D6391B">
      <w:bookmarkStart w:id="0" w:name="_GoBack"/>
      <w:r>
        <w:rPr>
          <w:noProof/>
        </w:rPr>
        <w:drawing>
          <wp:inline distT="0" distB="0" distL="0" distR="0">
            <wp:extent cx="5486400" cy="2227152"/>
            <wp:effectExtent l="0" t="0" r="19050" b="2095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bookmarkEnd w:id="0"/>
    </w:p>
    <w:p w:rsidR="008732E5" w:rsidRDefault="008732E5"/>
    <w:p w:rsidR="004810F9" w:rsidRDefault="00D33243" w:rsidP="00D33243">
      <w:pPr>
        <w:spacing w:line="360" w:lineRule="auto"/>
        <w:jc w:val="both"/>
        <w:rPr>
          <w:rFonts w:ascii="Times New Roman" w:hAnsi="Times New Roman" w:cs="Times New Roman"/>
          <w:sz w:val="24"/>
          <w:lang w:val="en-GB"/>
        </w:rPr>
      </w:pPr>
      <w:r w:rsidRPr="00FD1EB0">
        <w:rPr>
          <w:rFonts w:ascii="Times New Roman" w:hAnsi="Times New Roman" w:cs="Times New Roman"/>
          <w:sz w:val="24"/>
          <w:lang w:val="en-GB"/>
        </w:rPr>
        <w:lastRenderedPageBreak/>
        <w:t>The adult age-group (above 18 years) was the most represented in the fat</w:t>
      </w:r>
      <w:r w:rsidR="004810F9">
        <w:rPr>
          <w:rFonts w:ascii="Times New Roman" w:hAnsi="Times New Roman" w:cs="Times New Roman"/>
          <w:sz w:val="24"/>
          <w:lang w:val="en-GB"/>
        </w:rPr>
        <w:t>ality statistics constituting 81</w:t>
      </w:r>
      <w:r w:rsidRPr="00FD1EB0">
        <w:rPr>
          <w:rFonts w:ascii="Times New Roman" w:hAnsi="Times New Roman" w:cs="Times New Roman"/>
          <w:sz w:val="24"/>
          <w:lang w:val="en-GB"/>
        </w:rPr>
        <w:t>%</w:t>
      </w:r>
      <w:r w:rsidR="004810F9">
        <w:rPr>
          <w:rFonts w:ascii="Times New Roman" w:hAnsi="Times New Roman" w:cs="Times New Roman"/>
          <w:sz w:val="24"/>
          <w:lang w:val="en-GB"/>
        </w:rPr>
        <w:t xml:space="preserve"> of fatalities as compared to 19</w:t>
      </w:r>
      <w:r w:rsidRPr="00FD1EB0">
        <w:rPr>
          <w:rFonts w:ascii="Times New Roman" w:hAnsi="Times New Roman" w:cs="Times New Roman"/>
          <w:sz w:val="24"/>
          <w:lang w:val="en-GB"/>
        </w:rPr>
        <w:t xml:space="preserve">% for children. </w:t>
      </w:r>
    </w:p>
    <w:p w:rsidR="00D33243" w:rsidRPr="000967AC" w:rsidRDefault="00D33243" w:rsidP="00D33243">
      <w:pPr>
        <w:spacing w:line="360" w:lineRule="auto"/>
        <w:jc w:val="both"/>
        <w:rPr>
          <w:rFonts w:ascii="Times New Roman" w:hAnsi="Times New Roman" w:cs="Times New Roman"/>
          <w:sz w:val="24"/>
          <w:lang w:val="en-GB"/>
        </w:rPr>
      </w:pPr>
      <w:r w:rsidRPr="00FD1EB0">
        <w:rPr>
          <w:rFonts w:ascii="Times New Roman" w:hAnsi="Times New Roman" w:cs="Times New Roman"/>
          <w:sz w:val="24"/>
          <w:lang w:val="en-GB"/>
        </w:rPr>
        <w:t xml:space="preserve">Putting the riskiest age-group and sex together, the picture implies that more adult males are dying than their female counterparts. </w:t>
      </w:r>
      <w:proofErr w:type="gramStart"/>
      <w:r w:rsidRPr="00FD1EB0">
        <w:rPr>
          <w:rFonts w:ascii="Times New Roman" w:hAnsi="Times New Roman" w:cs="Times New Roman"/>
          <w:sz w:val="24"/>
          <w:lang w:val="en-GB"/>
        </w:rPr>
        <w:t>This further points</w:t>
      </w:r>
      <w:proofErr w:type="gramEnd"/>
      <w:r w:rsidRPr="00FD1EB0">
        <w:rPr>
          <w:rFonts w:ascii="Times New Roman" w:hAnsi="Times New Roman" w:cs="Times New Roman"/>
          <w:sz w:val="24"/>
          <w:lang w:val="en-GB"/>
        </w:rPr>
        <w:t xml:space="preserve"> to the understanding that male casualties are more likely to have fatal outcomes than female casualties</w:t>
      </w:r>
      <w:r w:rsidRPr="000967AC">
        <w:rPr>
          <w:rFonts w:ascii="Times New Roman" w:hAnsi="Times New Roman" w:cs="Times New Roman"/>
          <w:sz w:val="24"/>
          <w:lang w:val="en-GB"/>
        </w:rPr>
        <w:t>.</w:t>
      </w:r>
    </w:p>
    <w:p w:rsidR="008732E5" w:rsidRDefault="00B970D0" w:rsidP="00B970D0">
      <w:pPr>
        <w:pStyle w:val="ListParagraph"/>
        <w:numPr>
          <w:ilvl w:val="0"/>
          <w:numId w:val="1"/>
        </w:numPr>
        <w:rPr>
          <w:rFonts w:ascii="Times New Roman" w:hAnsi="Times New Roman" w:cs="Times New Roman"/>
          <w:b/>
          <w:sz w:val="24"/>
          <w:szCs w:val="24"/>
        </w:rPr>
      </w:pPr>
      <w:r w:rsidRPr="000131E9">
        <w:rPr>
          <w:rFonts w:ascii="Times New Roman" w:hAnsi="Times New Roman" w:cs="Times New Roman"/>
          <w:b/>
          <w:sz w:val="24"/>
          <w:szCs w:val="24"/>
        </w:rPr>
        <w:t xml:space="preserve">Pedestrians Knocked down </w:t>
      </w:r>
    </w:p>
    <w:p w:rsidR="000131E9" w:rsidRPr="000131E9" w:rsidRDefault="000131E9" w:rsidP="000131E9">
      <w:pPr>
        <w:rPr>
          <w:rFonts w:ascii="Times New Roman" w:hAnsi="Times New Roman" w:cs="Times New Roman"/>
          <w:sz w:val="24"/>
          <w:szCs w:val="24"/>
        </w:rPr>
      </w:pPr>
      <w:r>
        <w:rPr>
          <w:rFonts w:ascii="Times New Roman" w:hAnsi="Times New Roman" w:cs="Times New Roman"/>
          <w:sz w:val="24"/>
          <w:szCs w:val="24"/>
        </w:rPr>
        <w:t>Figure 10:  Pedestrians Knocked down</w:t>
      </w:r>
    </w:p>
    <w:p w:rsidR="00B970D0" w:rsidRDefault="00B970D0" w:rsidP="00B970D0">
      <w:pPr>
        <w:rPr>
          <w:b/>
        </w:rPr>
      </w:pPr>
      <w:r>
        <w:rPr>
          <w:b/>
          <w:noProof/>
        </w:rPr>
        <w:drawing>
          <wp:inline distT="0" distB="0" distL="0" distR="0">
            <wp:extent cx="5486400" cy="3200400"/>
            <wp:effectExtent l="0" t="0" r="19050"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64219" w:rsidRPr="00E64219" w:rsidRDefault="00E64219" w:rsidP="00B970D0">
      <w:r w:rsidRPr="00E64219">
        <w:t>Out of</w:t>
      </w:r>
      <w:r>
        <w:t xml:space="preserve"> the 46 pedestrians knocked down, 14 persons were killed while 32 persons sustained various degrees of injuries </w:t>
      </w:r>
    </w:p>
    <w:sectPr w:rsidR="00E64219" w:rsidRPr="00E64219">
      <w:footerReference w:type="defaul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65A" w:rsidRDefault="00C6565A" w:rsidP="00E643A0">
      <w:pPr>
        <w:spacing w:after="0" w:line="240" w:lineRule="auto"/>
      </w:pPr>
      <w:r>
        <w:separator/>
      </w:r>
    </w:p>
  </w:endnote>
  <w:endnote w:type="continuationSeparator" w:id="0">
    <w:p w:rsidR="00C6565A" w:rsidRDefault="00C6565A" w:rsidP="00E64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920856"/>
      <w:docPartObj>
        <w:docPartGallery w:val="Page Numbers (Bottom of Page)"/>
        <w:docPartUnique/>
      </w:docPartObj>
    </w:sdtPr>
    <w:sdtContent>
      <w:sdt>
        <w:sdtPr>
          <w:id w:val="860082579"/>
          <w:docPartObj>
            <w:docPartGallery w:val="Page Numbers (Top of Page)"/>
            <w:docPartUnique/>
          </w:docPartObj>
        </w:sdtPr>
        <w:sdtContent>
          <w:p w:rsidR="00E643A0" w:rsidRDefault="00E643A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2206A">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2206A">
              <w:rPr>
                <w:b/>
                <w:bCs/>
                <w:noProof/>
              </w:rPr>
              <w:t>10</w:t>
            </w:r>
            <w:r>
              <w:rPr>
                <w:b/>
                <w:bCs/>
                <w:sz w:val="24"/>
                <w:szCs w:val="24"/>
              </w:rPr>
              <w:fldChar w:fldCharType="end"/>
            </w:r>
          </w:p>
        </w:sdtContent>
      </w:sdt>
    </w:sdtContent>
  </w:sdt>
  <w:p w:rsidR="00E643A0" w:rsidRDefault="00E643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65A" w:rsidRDefault="00C6565A" w:rsidP="00E643A0">
      <w:pPr>
        <w:spacing w:after="0" w:line="240" w:lineRule="auto"/>
      </w:pPr>
      <w:r>
        <w:separator/>
      </w:r>
    </w:p>
  </w:footnote>
  <w:footnote w:type="continuationSeparator" w:id="0">
    <w:p w:rsidR="00C6565A" w:rsidRDefault="00C6565A" w:rsidP="00E643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E040F"/>
    <w:multiLevelType w:val="multilevel"/>
    <w:tmpl w:val="B5FACE70"/>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3BDE6C02"/>
    <w:multiLevelType w:val="hybridMultilevel"/>
    <w:tmpl w:val="068691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04E5840"/>
    <w:multiLevelType w:val="hybridMultilevel"/>
    <w:tmpl w:val="FADEDA44"/>
    <w:lvl w:ilvl="0" w:tplc="E93665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EC4"/>
    <w:rsid w:val="000131E9"/>
    <w:rsid w:val="00024F2A"/>
    <w:rsid w:val="000E3064"/>
    <w:rsid w:val="0011133F"/>
    <w:rsid w:val="00134492"/>
    <w:rsid w:val="001410DC"/>
    <w:rsid w:val="00164B7E"/>
    <w:rsid w:val="00182EE5"/>
    <w:rsid w:val="00183E5F"/>
    <w:rsid w:val="001C24FD"/>
    <w:rsid w:val="001D0B78"/>
    <w:rsid w:val="001D69EB"/>
    <w:rsid w:val="002A3831"/>
    <w:rsid w:val="002F4203"/>
    <w:rsid w:val="00324F04"/>
    <w:rsid w:val="003D0EA5"/>
    <w:rsid w:val="003D79D9"/>
    <w:rsid w:val="00400764"/>
    <w:rsid w:val="00460DCA"/>
    <w:rsid w:val="004810F9"/>
    <w:rsid w:val="004A7B2B"/>
    <w:rsid w:val="00537643"/>
    <w:rsid w:val="005467E1"/>
    <w:rsid w:val="005533D6"/>
    <w:rsid w:val="00555DE5"/>
    <w:rsid w:val="00596E68"/>
    <w:rsid w:val="005A13E1"/>
    <w:rsid w:val="005A5269"/>
    <w:rsid w:val="005C4C87"/>
    <w:rsid w:val="00605EC4"/>
    <w:rsid w:val="006160F6"/>
    <w:rsid w:val="00620074"/>
    <w:rsid w:val="00642836"/>
    <w:rsid w:val="006A26C0"/>
    <w:rsid w:val="007445FF"/>
    <w:rsid w:val="007524C9"/>
    <w:rsid w:val="007E6876"/>
    <w:rsid w:val="007F1E1B"/>
    <w:rsid w:val="008732E5"/>
    <w:rsid w:val="008D39FA"/>
    <w:rsid w:val="008D70FC"/>
    <w:rsid w:val="008F2477"/>
    <w:rsid w:val="00907AE2"/>
    <w:rsid w:val="00927EC2"/>
    <w:rsid w:val="009305CF"/>
    <w:rsid w:val="00946FC1"/>
    <w:rsid w:val="0096311C"/>
    <w:rsid w:val="00971E40"/>
    <w:rsid w:val="00984A40"/>
    <w:rsid w:val="009B32D6"/>
    <w:rsid w:val="009D5E38"/>
    <w:rsid w:val="009D74F3"/>
    <w:rsid w:val="00A26494"/>
    <w:rsid w:val="00A62107"/>
    <w:rsid w:val="00A72397"/>
    <w:rsid w:val="00A761EF"/>
    <w:rsid w:val="00A77C94"/>
    <w:rsid w:val="00A95301"/>
    <w:rsid w:val="00AA3732"/>
    <w:rsid w:val="00AC16BA"/>
    <w:rsid w:val="00AF4810"/>
    <w:rsid w:val="00B049A7"/>
    <w:rsid w:val="00B211F9"/>
    <w:rsid w:val="00B3083F"/>
    <w:rsid w:val="00B6510E"/>
    <w:rsid w:val="00B970D0"/>
    <w:rsid w:val="00BC4F7B"/>
    <w:rsid w:val="00C06290"/>
    <w:rsid w:val="00C13CAD"/>
    <w:rsid w:val="00C6565A"/>
    <w:rsid w:val="00CB6368"/>
    <w:rsid w:val="00CD3FF1"/>
    <w:rsid w:val="00CF455F"/>
    <w:rsid w:val="00D02E85"/>
    <w:rsid w:val="00D148B6"/>
    <w:rsid w:val="00D2206A"/>
    <w:rsid w:val="00D33243"/>
    <w:rsid w:val="00D54795"/>
    <w:rsid w:val="00D56E6A"/>
    <w:rsid w:val="00D6391B"/>
    <w:rsid w:val="00D90EF3"/>
    <w:rsid w:val="00DA52DA"/>
    <w:rsid w:val="00DA64E0"/>
    <w:rsid w:val="00E12ABB"/>
    <w:rsid w:val="00E20EED"/>
    <w:rsid w:val="00E52625"/>
    <w:rsid w:val="00E64219"/>
    <w:rsid w:val="00E643A0"/>
    <w:rsid w:val="00E73909"/>
    <w:rsid w:val="00EA42BD"/>
    <w:rsid w:val="00ED06A3"/>
    <w:rsid w:val="00EF52F5"/>
    <w:rsid w:val="00F457FE"/>
    <w:rsid w:val="00FF6A44"/>
    <w:rsid w:val="00FF6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EC4"/>
  </w:style>
  <w:style w:type="paragraph" w:styleId="Heading2">
    <w:name w:val="heading 2"/>
    <w:basedOn w:val="Normal"/>
    <w:next w:val="Normal"/>
    <w:link w:val="Heading2Char"/>
    <w:uiPriority w:val="9"/>
    <w:unhideWhenUsed/>
    <w:qFormat/>
    <w:rsid w:val="005467E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EC4"/>
    <w:pPr>
      <w:ind w:left="720"/>
      <w:contextualSpacing/>
    </w:pPr>
  </w:style>
  <w:style w:type="table" w:styleId="TableGrid">
    <w:name w:val="Table Grid"/>
    <w:basedOn w:val="TableNormal"/>
    <w:uiPriority w:val="59"/>
    <w:rsid w:val="00605E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605EC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605EC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1">
    <w:name w:val="Light Grid Accent 1"/>
    <w:basedOn w:val="TableNormal"/>
    <w:uiPriority w:val="62"/>
    <w:rsid w:val="00605EC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2-Accent4">
    <w:name w:val="Medium Shading 2 Accent 4"/>
    <w:basedOn w:val="TableNormal"/>
    <w:uiPriority w:val="64"/>
    <w:rsid w:val="00605EC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05EC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2">
    <w:name w:val="Medium List 1 Accent 2"/>
    <w:basedOn w:val="TableNormal"/>
    <w:uiPriority w:val="65"/>
    <w:rsid w:val="00605EC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ColorfulGrid-Accent5">
    <w:name w:val="Colorful Grid Accent 5"/>
    <w:basedOn w:val="TableNormal"/>
    <w:uiPriority w:val="73"/>
    <w:rsid w:val="00605EC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Shading1-Accent1">
    <w:name w:val="Medium Shading 1 Accent 1"/>
    <w:basedOn w:val="TableNormal"/>
    <w:uiPriority w:val="63"/>
    <w:rsid w:val="00605EC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605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EC4"/>
    <w:rPr>
      <w:rFonts w:ascii="Tahoma" w:hAnsi="Tahoma" w:cs="Tahoma"/>
      <w:sz w:val="16"/>
      <w:szCs w:val="16"/>
    </w:rPr>
  </w:style>
  <w:style w:type="table" w:styleId="LightList-Accent1">
    <w:name w:val="Light List Accent 1"/>
    <w:basedOn w:val="TableNormal"/>
    <w:uiPriority w:val="61"/>
    <w:rsid w:val="00D90EF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5467E1"/>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E643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3A0"/>
  </w:style>
  <w:style w:type="paragraph" w:styleId="Footer">
    <w:name w:val="footer"/>
    <w:basedOn w:val="Normal"/>
    <w:link w:val="FooterChar"/>
    <w:uiPriority w:val="99"/>
    <w:unhideWhenUsed/>
    <w:rsid w:val="00E643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3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EC4"/>
  </w:style>
  <w:style w:type="paragraph" w:styleId="Heading2">
    <w:name w:val="heading 2"/>
    <w:basedOn w:val="Normal"/>
    <w:next w:val="Normal"/>
    <w:link w:val="Heading2Char"/>
    <w:uiPriority w:val="9"/>
    <w:unhideWhenUsed/>
    <w:qFormat/>
    <w:rsid w:val="005467E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EC4"/>
    <w:pPr>
      <w:ind w:left="720"/>
      <w:contextualSpacing/>
    </w:pPr>
  </w:style>
  <w:style w:type="table" w:styleId="TableGrid">
    <w:name w:val="Table Grid"/>
    <w:basedOn w:val="TableNormal"/>
    <w:uiPriority w:val="59"/>
    <w:rsid w:val="00605E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605EC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605EC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1">
    <w:name w:val="Light Grid Accent 1"/>
    <w:basedOn w:val="TableNormal"/>
    <w:uiPriority w:val="62"/>
    <w:rsid w:val="00605EC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2-Accent4">
    <w:name w:val="Medium Shading 2 Accent 4"/>
    <w:basedOn w:val="TableNormal"/>
    <w:uiPriority w:val="64"/>
    <w:rsid w:val="00605EC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05EC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2">
    <w:name w:val="Medium List 1 Accent 2"/>
    <w:basedOn w:val="TableNormal"/>
    <w:uiPriority w:val="65"/>
    <w:rsid w:val="00605EC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ColorfulGrid-Accent5">
    <w:name w:val="Colorful Grid Accent 5"/>
    <w:basedOn w:val="TableNormal"/>
    <w:uiPriority w:val="73"/>
    <w:rsid w:val="00605EC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Shading1-Accent1">
    <w:name w:val="Medium Shading 1 Accent 1"/>
    <w:basedOn w:val="TableNormal"/>
    <w:uiPriority w:val="63"/>
    <w:rsid w:val="00605EC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605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EC4"/>
    <w:rPr>
      <w:rFonts w:ascii="Tahoma" w:hAnsi="Tahoma" w:cs="Tahoma"/>
      <w:sz w:val="16"/>
      <w:szCs w:val="16"/>
    </w:rPr>
  </w:style>
  <w:style w:type="table" w:styleId="LightList-Accent1">
    <w:name w:val="Light List Accent 1"/>
    <w:basedOn w:val="TableNormal"/>
    <w:uiPriority w:val="61"/>
    <w:rsid w:val="00D90EF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5467E1"/>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E643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3A0"/>
  </w:style>
  <w:style w:type="paragraph" w:styleId="Footer">
    <w:name w:val="footer"/>
    <w:basedOn w:val="Normal"/>
    <w:link w:val="FooterChar"/>
    <w:uiPriority w:val="99"/>
    <w:unhideWhenUsed/>
    <w:rsid w:val="00E643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34728">
      <w:bodyDiv w:val="1"/>
      <w:marLeft w:val="0"/>
      <w:marRight w:val="0"/>
      <w:marTop w:val="0"/>
      <w:marBottom w:val="0"/>
      <w:divBdr>
        <w:top w:val="none" w:sz="0" w:space="0" w:color="auto"/>
        <w:left w:val="none" w:sz="0" w:space="0" w:color="auto"/>
        <w:bottom w:val="none" w:sz="0" w:space="0" w:color="auto"/>
        <w:right w:val="none" w:sz="0" w:space="0" w:color="auto"/>
      </w:divBdr>
    </w:div>
    <w:div w:id="355271316">
      <w:bodyDiv w:val="1"/>
      <w:marLeft w:val="0"/>
      <w:marRight w:val="0"/>
      <w:marTop w:val="0"/>
      <w:marBottom w:val="0"/>
      <w:divBdr>
        <w:top w:val="none" w:sz="0" w:space="0" w:color="auto"/>
        <w:left w:val="none" w:sz="0" w:space="0" w:color="auto"/>
        <w:bottom w:val="none" w:sz="0" w:space="0" w:color="auto"/>
        <w:right w:val="none" w:sz="0" w:space="0" w:color="auto"/>
      </w:divBdr>
    </w:div>
    <w:div w:id="539127919">
      <w:bodyDiv w:val="1"/>
      <w:marLeft w:val="0"/>
      <w:marRight w:val="0"/>
      <w:marTop w:val="0"/>
      <w:marBottom w:val="0"/>
      <w:divBdr>
        <w:top w:val="none" w:sz="0" w:space="0" w:color="auto"/>
        <w:left w:val="none" w:sz="0" w:space="0" w:color="auto"/>
        <w:bottom w:val="none" w:sz="0" w:space="0" w:color="auto"/>
        <w:right w:val="none" w:sz="0" w:space="0" w:color="auto"/>
      </w:divBdr>
    </w:div>
    <w:div w:id="755321703">
      <w:bodyDiv w:val="1"/>
      <w:marLeft w:val="0"/>
      <w:marRight w:val="0"/>
      <w:marTop w:val="0"/>
      <w:marBottom w:val="0"/>
      <w:divBdr>
        <w:top w:val="none" w:sz="0" w:space="0" w:color="auto"/>
        <w:left w:val="none" w:sz="0" w:space="0" w:color="auto"/>
        <w:bottom w:val="none" w:sz="0" w:space="0" w:color="auto"/>
        <w:right w:val="none" w:sz="0" w:space="0" w:color="auto"/>
      </w:divBdr>
    </w:div>
    <w:div w:id="1322544579">
      <w:bodyDiv w:val="1"/>
      <w:marLeft w:val="0"/>
      <w:marRight w:val="0"/>
      <w:marTop w:val="0"/>
      <w:marBottom w:val="0"/>
      <w:divBdr>
        <w:top w:val="none" w:sz="0" w:space="0" w:color="auto"/>
        <w:left w:val="none" w:sz="0" w:space="0" w:color="auto"/>
        <w:bottom w:val="none" w:sz="0" w:space="0" w:color="auto"/>
        <w:right w:val="none" w:sz="0" w:space="0" w:color="auto"/>
      </w:divBdr>
    </w:div>
    <w:div w:id="1405029499">
      <w:bodyDiv w:val="1"/>
      <w:marLeft w:val="0"/>
      <w:marRight w:val="0"/>
      <w:marTop w:val="0"/>
      <w:marBottom w:val="0"/>
      <w:divBdr>
        <w:top w:val="none" w:sz="0" w:space="0" w:color="auto"/>
        <w:left w:val="none" w:sz="0" w:space="0" w:color="auto"/>
        <w:bottom w:val="none" w:sz="0" w:space="0" w:color="auto"/>
        <w:right w:val="none" w:sz="0" w:space="0" w:color="auto"/>
      </w:divBdr>
    </w:div>
    <w:div w:id="169280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ACKITEY\Desktop\Book1.xlsx"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3"/>
    </mc:Choice>
    <mc:Fallback>
      <c:style val="23"/>
    </mc:Fallback>
  </mc:AlternateContent>
  <c:chart>
    <c:title>
      <c:tx>
        <c:rich>
          <a:bodyPr/>
          <a:lstStyle/>
          <a:p>
            <a:pPr>
              <a:defRPr/>
            </a:pPr>
            <a:r>
              <a:rPr lang="en-US" sz="1800" b="0" i="0" u="none" strike="noStrike" baseline="0">
                <a:effectLst/>
              </a:rPr>
              <a:t>Summary of RTC Situation, January to June, 2022</a:t>
            </a:r>
            <a:endParaRPr lang="en-US" b="0"/>
          </a:p>
        </c:rich>
      </c:tx>
      <c:overlay val="0"/>
    </c:title>
    <c:autoTitleDeleted val="0"/>
    <c:plotArea>
      <c:layout/>
      <c:barChart>
        <c:barDir val="col"/>
        <c:grouping val="clustered"/>
        <c:varyColors val="0"/>
        <c:ser>
          <c:idx val="0"/>
          <c:order val="0"/>
          <c:tx>
            <c:strRef>
              <c:f>Sheet1!$C$46</c:f>
              <c:strCache>
                <c:ptCount val="1"/>
                <c:pt idx="0">
                  <c:v>Jan to June 2022</c:v>
                </c:pt>
              </c:strCache>
            </c:strRef>
          </c:tx>
          <c:invertIfNegative val="0"/>
          <c:dLbls>
            <c:showLegendKey val="0"/>
            <c:showVal val="1"/>
            <c:showCatName val="0"/>
            <c:showSerName val="0"/>
            <c:showPercent val="0"/>
            <c:showBubbleSize val="0"/>
            <c:showLeaderLines val="0"/>
          </c:dLbls>
          <c:cat>
            <c:strRef>
              <c:f>Sheet1!$B$47:$B$51</c:f>
              <c:strCache>
                <c:ptCount val="5"/>
                <c:pt idx="0">
                  <c:v>Cases Reported</c:v>
                </c:pt>
                <c:pt idx="1">
                  <c:v>Vehicles Involved</c:v>
                </c:pt>
                <c:pt idx="2">
                  <c:v>Persons Killed</c:v>
                </c:pt>
                <c:pt idx="3">
                  <c:v>Persons Injured</c:v>
                </c:pt>
                <c:pt idx="4">
                  <c:v>Pedestrians Knockdown</c:v>
                </c:pt>
              </c:strCache>
            </c:strRef>
          </c:cat>
          <c:val>
            <c:numRef>
              <c:f>Sheet1!$C$47:$C$51</c:f>
              <c:numCache>
                <c:formatCode>General</c:formatCode>
                <c:ptCount val="5"/>
                <c:pt idx="0">
                  <c:v>193</c:v>
                </c:pt>
                <c:pt idx="1">
                  <c:v>318</c:v>
                </c:pt>
                <c:pt idx="2">
                  <c:v>48</c:v>
                </c:pt>
                <c:pt idx="3">
                  <c:v>133</c:v>
                </c:pt>
                <c:pt idx="4">
                  <c:v>46</c:v>
                </c:pt>
              </c:numCache>
            </c:numRef>
          </c:val>
        </c:ser>
        <c:ser>
          <c:idx val="1"/>
          <c:order val="1"/>
          <c:tx>
            <c:strRef>
              <c:f>Sheet1!$D$46</c:f>
              <c:strCache>
                <c:ptCount val="1"/>
                <c:pt idx="0">
                  <c:v>Jan to June 2021</c:v>
                </c:pt>
              </c:strCache>
            </c:strRef>
          </c:tx>
          <c:spPr>
            <a:solidFill>
              <a:schemeClr val="accent3">
                <a:lumMod val="40000"/>
                <a:lumOff val="60000"/>
              </a:schemeClr>
            </a:solidFill>
          </c:spPr>
          <c:invertIfNegative val="0"/>
          <c:dLbls>
            <c:showLegendKey val="0"/>
            <c:showVal val="1"/>
            <c:showCatName val="0"/>
            <c:showSerName val="0"/>
            <c:showPercent val="0"/>
            <c:showBubbleSize val="0"/>
            <c:showLeaderLines val="0"/>
          </c:dLbls>
          <c:cat>
            <c:strRef>
              <c:f>Sheet1!$B$47:$B$51</c:f>
              <c:strCache>
                <c:ptCount val="5"/>
                <c:pt idx="0">
                  <c:v>Cases Reported</c:v>
                </c:pt>
                <c:pt idx="1">
                  <c:v>Vehicles Involved</c:v>
                </c:pt>
                <c:pt idx="2">
                  <c:v>Persons Killed</c:v>
                </c:pt>
                <c:pt idx="3">
                  <c:v>Persons Injured</c:v>
                </c:pt>
                <c:pt idx="4">
                  <c:v>Pedestrians Knockdown</c:v>
                </c:pt>
              </c:strCache>
            </c:strRef>
          </c:cat>
          <c:val>
            <c:numRef>
              <c:f>Sheet1!$D$47:$D$51</c:f>
              <c:numCache>
                <c:formatCode>General</c:formatCode>
                <c:ptCount val="5"/>
                <c:pt idx="0">
                  <c:v>247</c:v>
                </c:pt>
                <c:pt idx="1">
                  <c:v>423</c:v>
                </c:pt>
                <c:pt idx="2">
                  <c:v>64</c:v>
                </c:pt>
                <c:pt idx="3">
                  <c:v>268</c:v>
                </c:pt>
                <c:pt idx="4">
                  <c:v>53</c:v>
                </c:pt>
              </c:numCache>
            </c:numRef>
          </c:val>
        </c:ser>
        <c:dLbls>
          <c:showLegendKey val="0"/>
          <c:showVal val="0"/>
          <c:showCatName val="0"/>
          <c:showSerName val="0"/>
          <c:showPercent val="0"/>
          <c:showBubbleSize val="0"/>
        </c:dLbls>
        <c:gapWidth val="75"/>
        <c:overlap val="-25"/>
        <c:axId val="-1179176448"/>
        <c:axId val="2094672128"/>
      </c:barChart>
      <c:catAx>
        <c:axId val="-1179176448"/>
        <c:scaling>
          <c:orientation val="minMax"/>
        </c:scaling>
        <c:delete val="0"/>
        <c:axPos val="b"/>
        <c:majorTickMark val="none"/>
        <c:minorTickMark val="none"/>
        <c:tickLblPos val="nextTo"/>
        <c:crossAx val="2094672128"/>
        <c:crosses val="autoZero"/>
        <c:auto val="1"/>
        <c:lblAlgn val="ctr"/>
        <c:lblOffset val="100"/>
        <c:noMultiLvlLbl val="0"/>
      </c:catAx>
      <c:valAx>
        <c:axId val="2094672128"/>
        <c:scaling>
          <c:orientation val="minMax"/>
        </c:scaling>
        <c:delete val="0"/>
        <c:axPos val="l"/>
        <c:majorGridlines>
          <c:spPr>
            <a:ln>
              <a:noFill/>
            </a:ln>
          </c:spPr>
        </c:majorGridlines>
        <c:numFmt formatCode="General" sourceLinked="1"/>
        <c:majorTickMark val="none"/>
        <c:minorTickMark val="none"/>
        <c:tickLblPos val="nextTo"/>
        <c:spPr>
          <a:ln w="9525">
            <a:noFill/>
          </a:ln>
        </c:spPr>
        <c:crossAx val="-1179176448"/>
        <c:crosses val="autoZero"/>
        <c:crossBetween val="between"/>
      </c:valAx>
    </c:plotArea>
    <c:legend>
      <c:legendPos val="b"/>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en-US" sz="1800" b="1" i="0" u="none" strike="noStrike" cap="all" baseline="0">
                <a:effectLst/>
              </a:rPr>
              <a:t>Distribution of Fatalities by AGE</a:t>
            </a:r>
            <a:endParaRPr lang="en-US"/>
          </a:p>
        </c:rich>
      </c:tx>
      <c:overlay val="0"/>
    </c:title>
    <c:autoTitleDeleted val="0"/>
    <c:plotArea>
      <c:layout/>
      <c:doughnutChart>
        <c:varyColors val="1"/>
        <c:ser>
          <c:idx val="0"/>
          <c:order val="0"/>
          <c:tx>
            <c:strRef>
              <c:f>Sheet1!$B$1</c:f>
              <c:strCache>
                <c:ptCount val="1"/>
                <c:pt idx="0">
                  <c:v>Sales</c:v>
                </c:pt>
              </c:strCache>
            </c:strRef>
          </c:tx>
          <c:spPr>
            <a:solidFill>
              <a:schemeClr val="accent3">
                <a:lumMod val="60000"/>
                <a:lumOff val="40000"/>
              </a:schemeClr>
            </a:solidFill>
          </c:spPr>
          <c:dPt>
            <c:idx val="0"/>
            <c:bubble3D val="0"/>
            <c:spPr>
              <a:solidFill>
                <a:schemeClr val="accent5">
                  <a:lumMod val="60000"/>
                  <a:lumOff val="40000"/>
                </a:schemeClr>
              </a:solidFill>
            </c:spPr>
          </c:dPt>
          <c:dLbls>
            <c:dLbl>
              <c:idx val="0"/>
              <c:tx>
                <c:rich>
                  <a:bodyPr/>
                  <a:lstStyle/>
                  <a:p>
                    <a:r>
                      <a:rPr lang="en-US" sz="1200" b="1"/>
                      <a:t>Above 18, 39,
81%</a:t>
                    </a:r>
                    <a:endParaRPr lang="en-US"/>
                  </a:p>
                </c:rich>
              </c:tx>
              <c:showLegendKey val="0"/>
              <c:showVal val="0"/>
              <c:showCatName val="1"/>
              <c:showSerName val="0"/>
              <c:showPercent val="1"/>
              <c:showBubbleSize val="0"/>
            </c:dLbl>
            <c:dLbl>
              <c:idx val="1"/>
              <c:tx>
                <c:rich>
                  <a:bodyPr/>
                  <a:lstStyle/>
                  <a:p>
                    <a:r>
                      <a:rPr lang="en-US" sz="1200" b="1"/>
                      <a:t>Below 18,9,
19%</a:t>
                    </a:r>
                    <a:endParaRPr lang="en-US"/>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Sheet1!$A$2:$A$3</c:f>
              <c:strCache>
                <c:ptCount val="2"/>
                <c:pt idx="0">
                  <c:v>Above 18</c:v>
                </c:pt>
                <c:pt idx="1">
                  <c:v>Below 18</c:v>
                </c:pt>
              </c:strCache>
            </c:strRef>
          </c:cat>
          <c:val>
            <c:numRef>
              <c:f>Sheet1!$B$2:$B$3</c:f>
              <c:numCache>
                <c:formatCode>General</c:formatCode>
                <c:ptCount val="2"/>
                <c:pt idx="0">
                  <c:v>39</c:v>
                </c:pt>
                <c:pt idx="1">
                  <c:v>9</c:v>
                </c:pt>
              </c:numCache>
            </c:numRef>
          </c:val>
        </c:ser>
        <c:dLbls>
          <c:showLegendKey val="0"/>
          <c:showVal val="0"/>
          <c:showCatName val="1"/>
          <c:showSerName val="0"/>
          <c:showPercent val="1"/>
          <c:showBubbleSize val="0"/>
          <c:showLeaderLines val="1"/>
        </c:dLbls>
        <c:firstSliceAng val="0"/>
        <c:holeSize val="50"/>
      </c:doughnutChart>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Pedestrians</a:t>
            </a:r>
            <a:r>
              <a:rPr lang="en-US" baseline="0"/>
              <a:t> Killed</a:t>
            </a:r>
            <a:endParaRPr lang="en-US"/>
          </a:p>
        </c:rich>
      </c:tx>
      <c:overlay val="0"/>
    </c:title>
    <c:autoTitleDeleted val="0"/>
    <c:plotArea>
      <c:layout/>
      <c:barChart>
        <c:barDir val="bar"/>
        <c:grouping val="clustered"/>
        <c:varyColors val="0"/>
        <c:ser>
          <c:idx val="0"/>
          <c:order val="0"/>
          <c:tx>
            <c:strRef>
              <c:f>Sheet1!$B$1</c:f>
              <c:strCache>
                <c:ptCount val="1"/>
                <c:pt idx="0">
                  <c:v>Series 1</c:v>
                </c:pt>
              </c:strCache>
            </c:strRef>
          </c:tx>
          <c:invertIfNegative val="0"/>
          <c:dLbls>
            <c:txPr>
              <a:bodyPr/>
              <a:lstStyle/>
              <a:p>
                <a:pPr>
                  <a:defRPr sz="1500" b="1"/>
                </a:pPr>
                <a:endParaRPr lang="en-US"/>
              </a:p>
            </c:txPr>
            <c:showLegendKey val="0"/>
            <c:showVal val="1"/>
            <c:showCatName val="0"/>
            <c:showSerName val="0"/>
            <c:showPercent val="0"/>
            <c:showBubbleSize val="0"/>
            <c:showLeaderLines val="0"/>
          </c:dLbls>
          <c:cat>
            <c:strRef>
              <c:f>Sheet1!$A$2:$A$3</c:f>
              <c:strCache>
                <c:ptCount val="2"/>
                <c:pt idx="0">
                  <c:v>Pedestrians Killed</c:v>
                </c:pt>
                <c:pt idx="1">
                  <c:v>Pedestrians Injured</c:v>
                </c:pt>
              </c:strCache>
            </c:strRef>
          </c:cat>
          <c:val>
            <c:numRef>
              <c:f>Sheet1!$B$2:$B$3</c:f>
              <c:numCache>
                <c:formatCode>General</c:formatCode>
                <c:ptCount val="2"/>
                <c:pt idx="0">
                  <c:v>14</c:v>
                </c:pt>
                <c:pt idx="1">
                  <c:v>32</c:v>
                </c:pt>
              </c:numCache>
            </c:numRef>
          </c:val>
        </c:ser>
        <c:dLbls>
          <c:showLegendKey val="0"/>
          <c:showVal val="0"/>
          <c:showCatName val="0"/>
          <c:showSerName val="0"/>
          <c:showPercent val="0"/>
          <c:showBubbleSize val="0"/>
        </c:dLbls>
        <c:gapWidth val="75"/>
        <c:overlap val="-25"/>
        <c:axId val="-1137760768"/>
        <c:axId val="-1898592576"/>
      </c:barChart>
      <c:catAx>
        <c:axId val="-1137760768"/>
        <c:scaling>
          <c:orientation val="minMax"/>
        </c:scaling>
        <c:delete val="0"/>
        <c:axPos val="l"/>
        <c:majorTickMark val="none"/>
        <c:minorTickMark val="none"/>
        <c:tickLblPos val="nextTo"/>
        <c:crossAx val="-1898592576"/>
        <c:crosses val="autoZero"/>
        <c:auto val="1"/>
        <c:lblAlgn val="ctr"/>
        <c:lblOffset val="100"/>
        <c:noMultiLvlLbl val="0"/>
      </c:catAx>
      <c:valAx>
        <c:axId val="-1898592576"/>
        <c:scaling>
          <c:orientation val="minMax"/>
        </c:scaling>
        <c:delete val="0"/>
        <c:axPos val="b"/>
        <c:majorGridlines>
          <c:spPr>
            <a:ln>
              <a:noFill/>
            </a:ln>
          </c:spPr>
        </c:majorGridlines>
        <c:numFmt formatCode="General" sourceLinked="1"/>
        <c:majorTickMark val="none"/>
        <c:minorTickMark val="none"/>
        <c:tickLblPos val="nextTo"/>
        <c:spPr>
          <a:ln w="9525">
            <a:noFill/>
          </a:ln>
        </c:spPr>
        <c:crossAx val="-113776076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hart>
    <c:title>
      <c:tx>
        <c:rich>
          <a:bodyPr/>
          <a:lstStyle/>
          <a:p>
            <a:pPr>
              <a:defRPr/>
            </a:pPr>
            <a:r>
              <a:rPr lang="en-US" sz="1500" b="0" i="0" u="none" strike="noStrike" baseline="0">
                <a:effectLst/>
              </a:rPr>
              <a:t>Monthly Crash Situation, Jan to June 2021 and 2022</a:t>
            </a:r>
            <a:endParaRPr lang="en-US" sz="1500" b="0"/>
          </a:p>
        </c:rich>
      </c:tx>
      <c:overlay val="0"/>
    </c:title>
    <c:autoTitleDeleted val="0"/>
    <c:plotArea>
      <c:layout/>
      <c:barChart>
        <c:barDir val="col"/>
        <c:grouping val="clustered"/>
        <c:varyColors val="0"/>
        <c:ser>
          <c:idx val="0"/>
          <c:order val="0"/>
          <c:tx>
            <c:strRef>
              <c:f>Sheet1!$C$15</c:f>
              <c:strCache>
                <c:ptCount val="1"/>
                <c:pt idx="0">
                  <c:v>2022</c:v>
                </c:pt>
              </c:strCache>
            </c:strRef>
          </c:tx>
          <c:spPr>
            <a:solidFill>
              <a:schemeClr val="accent6">
                <a:lumMod val="60000"/>
                <a:lumOff val="40000"/>
              </a:schemeClr>
            </a:solidFill>
          </c:spPr>
          <c:invertIfNegative val="0"/>
          <c:dLbls>
            <c:showLegendKey val="0"/>
            <c:showVal val="1"/>
            <c:showCatName val="0"/>
            <c:showSerName val="0"/>
            <c:showPercent val="0"/>
            <c:showBubbleSize val="0"/>
            <c:showLeaderLines val="0"/>
          </c:dLbls>
          <c:cat>
            <c:strRef>
              <c:f>Sheet1!$B$16:$B$21</c:f>
              <c:strCache>
                <c:ptCount val="6"/>
                <c:pt idx="0">
                  <c:v>January</c:v>
                </c:pt>
                <c:pt idx="1">
                  <c:v>February</c:v>
                </c:pt>
                <c:pt idx="2">
                  <c:v>March</c:v>
                </c:pt>
                <c:pt idx="3">
                  <c:v>April</c:v>
                </c:pt>
                <c:pt idx="4">
                  <c:v>May </c:v>
                </c:pt>
                <c:pt idx="5">
                  <c:v>June </c:v>
                </c:pt>
              </c:strCache>
            </c:strRef>
          </c:cat>
          <c:val>
            <c:numRef>
              <c:f>Sheet1!$C$16:$C$21</c:f>
              <c:numCache>
                <c:formatCode>General</c:formatCode>
                <c:ptCount val="6"/>
                <c:pt idx="0">
                  <c:v>32</c:v>
                </c:pt>
                <c:pt idx="1">
                  <c:v>24</c:v>
                </c:pt>
                <c:pt idx="2">
                  <c:v>41</c:v>
                </c:pt>
                <c:pt idx="3">
                  <c:v>37</c:v>
                </c:pt>
                <c:pt idx="4">
                  <c:v>26</c:v>
                </c:pt>
                <c:pt idx="5">
                  <c:v>33</c:v>
                </c:pt>
              </c:numCache>
            </c:numRef>
          </c:val>
        </c:ser>
        <c:ser>
          <c:idx val="1"/>
          <c:order val="1"/>
          <c:tx>
            <c:strRef>
              <c:f>Sheet1!$D$15</c:f>
              <c:strCache>
                <c:ptCount val="1"/>
                <c:pt idx="0">
                  <c:v>2021</c:v>
                </c:pt>
              </c:strCache>
            </c:strRef>
          </c:tx>
          <c:spPr>
            <a:solidFill>
              <a:srgbClr val="00B0F0"/>
            </a:solidFill>
          </c:spPr>
          <c:invertIfNegative val="0"/>
          <c:dLbls>
            <c:showLegendKey val="0"/>
            <c:showVal val="1"/>
            <c:showCatName val="0"/>
            <c:showSerName val="0"/>
            <c:showPercent val="0"/>
            <c:showBubbleSize val="0"/>
            <c:showLeaderLines val="0"/>
          </c:dLbls>
          <c:cat>
            <c:strRef>
              <c:f>Sheet1!$B$16:$B$21</c:f>
              <c:strCache>
                <c:ptCount val="6"/>
                <c:pt idx="0">
                  <c:v>January</c:v>
                </c:pt>
                <c:pt idx="1">
                  <c:v>February</c:v>
                </c:pt>
                <c:pt idx="2">
                  <c:v>March</c:v>
                </c:pt>
                <c:pt idx="3">
                  <c:v>April</c:v>
                </c:pt>
                <c:pt idx="4">
                  <c:v>May </c:v>
                </c:pt>
                <c:pt idx="5">
                  <c:v>June </c:v>
                </c:pt>
              </c:strCache>
            </c:strRef>
          </c:cat>
          <c:val>
            <c:numRef>
              <c:f>Sheet1!$D$16:$D$21</c:f>
              <c:numCache>
                <c:formatCode>General</c:formatCode>
                <c:ptCount val="6"/>
                <c:pt idx="0">
                  <c:v>46</c:v>
                </c:pt>
                <c:pt idx="1">
                  <c:v>45</c:v>
                </c:pt>
                <c:pt idx="2">
                  <c:v>46</c:v>
                </c:pt>
                <c:pt idx="3">
                  <c:v>48</c:v>
                </c:pt>
                <c:pt idx="4">
                  <c:v>34</c:v>
                </c:pt>
                <c:pt idx="5">
                  <c:v>28</c:v>
                </c:pt>
              </c:numCache>
            </c:numRef>
          </c:val>
        </c:ser>
        <c:dLbls>
          <c:showLegendKey val="0"/>
          <c:showVal val="0"/>
          <c:showCatName val="0"/>
          <c:showSerName val="0"/>
          <c:showPercent val="0"/>
          <c:showBubbleSize val="0"/>
        </c:dLbls>
        <c:gapWidth val="75"/>
        <c:overlap val="-25"/>
        <c:axId val="-1179175424"/>
        <c:axId val="2126406208"/>
      </c:barChart>
      <c:catAx>
        <c:axId val="-1179175424"/>
        <c:scaling>
          <c:orientation val="minMax"/>
        </c:scaling>
        <c:delete val="0"/>
        <c:axPos val="b"/>
        <c:majorTickMark val="none"/>
        <c:minorTickMark val="none"/>
        <c:tickLblPos val="nextTo"/>
        <c:crossAx val="2126406208"/>
        <c:crosses val="autoZero"/>
        <c:auto val="1"/>
        <c:lblAlgn val="ctr"/>
        <c:lblOffset val="100"/>
        <c:noMultiLvlLbl val="0"/>
      </c:catAx>
      <c:valAx>
        <c:axId val="2126406208"/>
        <c:scaling>
          <c:orientation val="minMax"/>
        </c:scaling>
        <c:delete val="0"/>
        <c:axPos val="l"/>
        <c:majorGridlines>
          <c:spPr>
            <a:ln>
              <a:noFill/>
            </a:ln>
          </c:spPr>
        </c:majorGridlines>
        <c:numFmt formatCode="General" sourceLinked="1"/>
        <c:majorTickMark val="none"/>
        <c:minorTickMark val="none"/>
        <c:tickLblPos val="nextTo"/>
        <c:crossAx val="-1179175424"/>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3"/>
    </mc:Choice>
    <mc:Fallback>
      <c:style val="13"/>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500" b="1" i="0" baseline="0">
                <a:effectLst/>
              </a:rPr>
              <a:t>Monthly Crash Situation Jan to June, 2021 and 2022</a:t>
            </a:r>
            <a:endParaRPr lang="en-US" sz="1500" b="1">
              <a:effectLst/>
            </a:endParaRPr>
          </a:p>
        </c:rich>
      </c:tx>
      <c:layout>
        <c:manualLayout>
          <c:xMode val="edge"/>
          <c:yMode val="edge"/>
          <c:x val="0.13161582624089652"/>
          <c:y val="0"/>
        </c:manualLayout>
      </c:layout>
      <c:overlay val="0"/>
    </c:title>
    <c:autoTitleDeleted val="0"/>
    <c:plotArea>
      <c:layout/>
      <c:barChart>
        <c:barDir val="col"/>
        <c:grouping val="clustered"/>
        <c:varyColors val="0"/>
        <c:ser>
          <c:idx val="0"/>
          <c:order val="0"/>
          <c:tx>
            <c:strRef>
              <c:f>Sheet1!$C$34</c:f>
              <c:strCache>
                <c:ptCount val="1"/>
                <c:pt idx="0">
                  <c:v>2022</c:v>
                </c:pt>
              </c:strCache>
            </c:strRef>
          </c:tx>
          <c:invertIfNegative val="0"/>
          <c:dLbls>
            <c:showLegendKey val="0"/>
            <c:showVal val="1"/>
            <c:showCatName val="0"/>
            <c:showSerName val="0"/>
            <c:showPercent val="0"/>
            <c:showBubbleSize val="0"/>
            <c:showLeaderLines val="0"/>
          </c:dLbls>
          <c:cat>
            <c:strRef>
              <c:f>Sheet1!$B$35:$B$40</c:f>
              <c:strCache>
                <c:ptCount val="6"/>
                <c:pt idx="0">
                  <c:v>January</c:v>
                </c:pt>
                <c:pt idx="1">
                  <c:v>February</c:v>
                </c:pt>
                <c:pt idx="2">
                  <c:v>March</c:v>
                </c:pt>
                <c:pt idx="3">
                  <c:v>April</c:v>
                </c:pt>
                <c:pt idx="4">
                  <c:v>May </c:v>
                </c:pt>
                <c:pt idx="5">
                  <c:v>June </c:v>
                </c:pt>
              </c:strCache>
            </c:strRef>
          </c:cat>
          <c:val>
            <c:numRef>
              <c:f>Sheet1!$C$35:$C$40</c:f>
              <c:numCache>
                <c:formatCode>General</c:formatCode>
                <c:ptCount val="6"/>
                <c:pt idx="0">
                  <c:v>9</c:v>
                </c:pt>
                <c:pt idx="1">
                  <c:v>10</c:v>
                </c:pt>
                <c:pt idx="2">
                  <c:v>16</c:v>
                </c:pt>
                <c:pt idx="3">
                  <c:v>6</c:v>
                </c:pt>
                <c:pt idx="4">
                  <c:v>3</c:v>
                </c:pt>
                <c:pt idx="5">
                  <c:v>4</c:v>
                </c:pt>
              </c:numCache>
            </c:numRef>
          </c:val>
        </c:ser>
        <c:ser>
          <c:idx val="1"/>
          <c:order val="1"/>
          <c:tx>
            <c:strRef>
              <c:f>Sheet1!$D$34</c:f>
              <c:strCache>
                <c:ptCount val="1"/>
                <c:pt idx="0">
                  <c:v>2021</c:v>
                </c:pt>
              </c:strCache>
            </c:strRef>
          </c:tx>
          <c:invertIfNegative val="0"/>
          <c:dLbls>
            <c:showLegendKey val="0"/>
            <c:showVal val="1"/>
            <c:showCatName val="0"/>
            <c:showSerName val="0"/>
            <c:showPercent val="0"/>
            <c:showBubbleSize val="0"/>
            <c:showLeaderLines val="0"/>
          </c:dLbls>
          <c:cat>
            <c:strRef>
              <c:f>Sheet1!$B$35:$B$40</c:f>
              <c:strCache>
                <c:ptCount val="6"/>
                <c:pt idx="0">
                  <c:v>January</c:v>
                </c:pt>
                <c:pt idx="1">
                  <c:v>February</c:v>
                </c:pt>
                <c:pt idx="2">
                  <c:v>March</c:v>
                </c:pt>
                <c:pt idx="3">
                  <c:v>April</c:v>
                </c:pt>
                <c:pt idx="4">
                  <c:v>May </c:v>
                </c:pt>
                <c:pt idx="5">
                  <c:v>June </c:v>
                </c:pt>
              </c:strCache>
            </c:strRef>
          </c:cat>
          <c:val>
            <c:numRef>
              <c:f>Sheet1!$D$35:$D$40</c:f>
              <c:numCache>
                <c:formatCode>General</c:formatCode>
                <c:ptCount val="6"/>
                <c:pt idx="0">
                  <c:v>17</c:v>
                </c:pt>
                <c:pt idx="1">
                  <c:v>10</c:v>
                </c:pt>
                <c:pt idx="2">
                  <c:v>13</c:v>
                </c:pt>
                <c:pt idx="3">
                  <c:v>13</c:v>
                </c:pt>
                <c:pt idx="4">
                  <c:v>7</c:v>
                </c:pt>
                <c:pt idx="5">
                  <c:v>4</c:v>
                </c:pt>
              </c:numCache>
            </c:numRef>
          </c:val>
        </c:ser>
        <c:dLbls>
          <c:showLegendKey val="0"/>
          <c:showVal val="0"/>
          <c:showCatName val="0"/>
          <c:showSerName val="0"/>
          <c:showPercent val="0"/>
          <c:showBubbleSize val="0"/>
        </c:dLbls>
        <c:gapWidth val="75"/>
        <c:overlap val="-25"/>
        <c:axId val="-1137761280"/>
        <c:axId val="2126409664"/>
      </c:barChart>
      <c:catAx>
        <c:axId val="-1137761280"/>
        <c:scaling>
          <c:orientation val="minMax"/>
        </c:scaling>
        <c:delete val="0"/>
        <c:axPos val="b"/>
        <c:majorTickMark val="none"/>
        <c:minorTickMark val="none"/>
        <c:tickLblPos val="nextTo"/>
        <c:crossAx val="2126409664"/>
        <c:crosses val="autoZero"/>
        <c:auto val="1"/>
        <c:lblAlgn val="ctr"/>
        <c:lblOffset val="100"/>
        <c:noMultiLvlLbl val="0"/>
      </c:catAx>
      <c:valAx>
        <c:axId val="2126409664"/>
        <c:scaling>
          <c:orientation val="minMax"/>
        </c:scaling>
        <c:delete val="0"/>
        <c:axPos val="l"/>
        <c:majorGridlines>
          <c:spPr>
            <a:ln>
              <a:noFill/>
            </a:ln>
          </c:spPr>
        </c:majorGridlines>
        <c:numFmt formatCode="General" sourceLinked="1"/>
        <c:majorTickMark val="none"/>
        <c:minorTickMark val="none"/>
        <c:tickLblPos val="nextTo"/>
        <c:crossAx val="-1137761280"/>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5"/>
    </mc:Choice>
    <mc:Fallback>
      <c:style val="15"/>
    </mc:Fallback>
  </mc:AlternateContent>
  <c:chart>
    <c:title>
      <c:tx>
        <c:rich>
          <a:bodyPr/>
          <a:lstStyle/>
          <a:p>
            <a:pPr>
              <a:defRPr/>
            </a:pPr>
            <a:r>
              <a:rPr lang="en-US"/>
              <a:t>Divisional</a:t>
            </a:r>
            <a:r>
              <a:rPr lang="en-US" baseline="0"/>
              <a:t> distribution of crashes</a:t>
            </a:r>
            <a:endParaRPr lang="en-US"/>
          </a:p>
        </c:rich>
      </c:tx>
      <c:overlay val="0"/>
    </c:title>
    <c:autoTitleDeleted val="0"/>
    <c:plotArea>
      <c:layout/>
      <c:barChart>
        <c:barDir val="col"/>
        <c:grouping val="clustered"/>
        <c:varyColors val="0"/>
        <c:ser>
          <c:idx val="0"/>
          <c:order val="0"/>
          <c:tx>
            <c:strRef>
              <c:f>Sheet1!$B$1</c:f>
              <c:strCache>
                <c:ptCount val="1"/>
                <c:pt idx="0">
                  <c:v>2022</c:v>
                </c:pt>
              </c:strCache>
            </c:strRef>
          </c:tx>
          <c:spPr>
            <a:solidFill>
              <a:srgbClr val="FFFF00"/>
            </a:solidFill>
            <a:ln>
              <a:solidFill>
                <a:srgbClr val="FFFF00"/>
              </a:solidFill>
            </a:ln>
          </c:spPr>
          <c:invertIfNegative val="0"/>
          <c:dLbls>
            <c:showLegendKey val="0"/>
            <c:showVal val="1"/>
            <c:showCatName val="0"/>
            <c:showSerName val="0"/>
            <c:showPercent val="0"/>
            <c:showBubbleSize val="0"/>
            <c:showLeaderLines val="0"/>
          </c:dLbls>
          <c:cat>
            <c:strRef>
              <c:f>Sheet1!$A$2:$A$7</c:f>
              <c:strCache>
                <c:ptCount val="6"/>
                <c:pt idx="0">
                  <c:v>Ho</c:v>
                </c:pt>
                <c:pt idx="1">
                  <c:v>Keta</c:v>
                </c:pt>
                <c:pt idx="2">
                  <c:v>Tongu</c:v>
                </c:pt>
                <c:pt idx="3">
                  <c:v>Hohoe</c:v>
                </c:pt>
                <c:pt idx="4">
                  <c:v>Kpando</c:v>
                </c:pt>
                <c:pt idx="5">
                  <c:v>Ketu</c:v>
                </c:pt>
              </c:strCache>
            </c:strRef>
          </c:cat>
          <c:val>
            <c:numRef>
              <c:f>Sheet1!$B$2:$B$7</c:f>
              <c:numCache>
                <c:formatCode>General</c:formatCode>
                <c:ptCount val="6"/>
                <c:pt idx="0">
                  <c:v>112</c:v>
                </c:pt>
                <c:pt idx="1">
                  <c:v>31</c:v>
                </c:pt>
                <c:pt idx="2">
                  <c:v>29</c:v>
                </c:pt>
                <c:pt idx="3">
                  <c:v>7</c:v>
                </c:pt>
                <c:pt idx="4">
                  <c:v>7</c:v>
                </c:pt>
                <c:pt idx="5">
                  <c:v>7</c:v>
                </c:pt>
              </c:numCache>
            </c:numRef>
          </c:val>
        </c:ser>
        <c:ser>
          <c:idx val="1"/>
          <c:order val="1"/>
          <c:tx>
            <c:strRef>
              <c:f>Sheet1!$C$1</c:f>
              <c:strCache>
                <c:ptCount val="1"/>
                <c:pt idx="0">
                  <c:v>2021</c:v>
                </c:pt>
              </c:strCache>
            </c:strRef>
          </c:tx>
          <c:invertIfNegative val="0"/>
          <c:dLbls>
            <c:showLegendKey val="0"/>
            <c:showVal val="1"/>
            <c:showCatName val="0"/>
            <c:showSerName val="0"/>
            <c:showPercent val="0"/>
            <c:showBubbleSize val="0"/>
            <c:showLeaderLines val="0"/>
          </c:dLbls>
          <c:cat>
            <c:strRef>
              <c:f>Sheet1!$A$2:$A$7</c:f>
              <c:strCache>
                <c:ptCount val="6"/>
                <c:pt idx="0">
                  <c:v>Ho</c:v>
                </c:pt>
                <c:pt idx="1">
                  <c:v>Keta</c:v>
                </c:pt>
                <c:pt idx="2">
                  <c:v>Tongu</c:v>
                </c:pt>
                <c:pt idx="3">
                  <c:v>Hohoe</c:v>
                </c:pt>
                <c:pt idx="4">
                  <c:v>Kpando</c:v>
                </c:pt>
                <c:pt idx="5">
                  <c:v>Ketu</c:v>
                </c:pt>
              </c:strCache>
            </c:strRef>
          </c:cat>
          <c:val>
            <c:numRef>
              <c:f>Sheet1!$C$2:$C$7</c:f>
              <c:numCache>
                <c:formatCode>General</c:formatCode>
                <c:ptCount val="6"/>
                <c:pt idx="0">
                  <c:v>132</c:v>
                </c:pt>
                <c:pt idx="1">
                  <c:v>35</c:v>
                </c:pt>
                <c:pt idx="2">
                  <c:v>51</c:v>
                </c:pt>
                <c:pt idx="3">
                  <c:v>4</c:v>
                </c:pt>
                <c:pt idx="4">
                  <c:v>5</c:v>
                </c:pt>
                <c:pt idx="5">
                  <c:v>20</c:v>
                </c:pt>
              </c:numCache>
            </c:numRef>
          </c:val>
        </c:ser>
        <c:dLbls>
          <c:showLegendKey val="0"/>
          <c:showVal val="0"/>
          <c:showCatName val="0"/>
          <c:showSerName val="0"/>
          <c:showPercent val="0"/>
          <c:showBubbleSize val="0"/>
        </c:dLbls>
        <c:gapWidth val="75"/>
        <c:overlap val="-25"/>
        <c:axId val="-1137762304"/>
        <c:axId val="2126411392"/>
      </c:barChart>
      <c:catAx>
        <c:axId val="-1137762304"/>
        <c:scaling>
          <c:orientation val="minMax"/>
        </c:scaling>
        <c:delete val="0"/>
        <c:axPos val="b"/>
        <c:majorTickMark val="none"/>
        <c:minorTickMark val="none"/>
        <c:tickLblPos val="nextTo"/>
        <c:crossAx val="2126411392"/>
        <c:crosses val="autoZero"/>
        <c:auto val="1"/>
        <c:lblAlgn val="ctr"/>
        <c:lblOffset val="100"/>
        <c:noMultiLvlLbl val="0"/>
      </c:catAx>
      <c:valAx>
        <c:axId val="2126411392"/>
        <c:scaling>
          <c:orientation val="minMax"/>
        </c:scaling>
        <c:delete val="0"/>
        <c:axPos val="l"/>
        <c:majorGridlines>
          <c:spPr>
            <a:ln>
              <a:noFill/>
            </a:ln>
          </c:spPr>
        </c:majorGridlines>
        <c:numFmt formatCode="General" sourceLinked="1"/>
        <c:majorTickMark val="none"/>
        <c:minorTickMark val="none"/>
        <c:tickLblPos val="nextTo"/>
        <c:crossAx val="-1137762304"/>
        <c:crosses val="autoZero"/>
        <c:crossBetween val="between"/>
      </c:valAx>
    </c:plotArea>
    <c:legend>
      <c:legendPos val="b"/>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Divisional</a:t>
            </a:r>
            <a:r>
              <a:rPr lang="en-US" baseline="0"/>
              <a:t> distribution of fatalities</a:t>
            </a:r>
            <a:endParaRPr lang="en-US"/>
          </a:p>
        </c:rich>
      </c:tx>
      <c:overlay val="0"/>
    </c:title>
    <c:autoTitleDeleted val="0"/>
    <c:plotArea>
      <c:layout/>
      <c:barChart>
        <c:barDir val="col"/>
        <c:grouping val="clustered"/>
        <c:varyColors val="0"/>
        <c:ser>
          <c:idx val="0"/>
          <c:order val="0"/>
          <c:tx>
            <c:strRef>
              <c:f>Sheet1!$B$1</c:f>
              <c:strCache>
                <c:ptCount val="1"/>
                <c:pt idx="0">
                  <c:v>2021</c:v>
                </c:pt>
              </c:strCache>
            </c:strRef>
          </c:tx>
          <c:spPr>
            <a:solidFill>
              <a:schemeClr val="accent1">
                <a:lumMod val="60000"/>
                <a:lumOff val="40000"/>
              </a:schemeClr>
            </a:solidFill>
          </c:spPr>
          <c:invertIfNegative val="0"/>
          <c:dLbls>
            <c:txPr>
              <a:bodyPr/>
              <a:lstStyle/>
              <a:p>
                <a:pPr>
                  <a:defRPr sz="1300" b="1"/>
                </a:pPr>
                <a:endParaRPr lang="en-US"/>
              </a:p>
            </c:txPr>
            <c:showLegendKey val="0"/>
            <c:showVal val="1"/>
            <c:showCatName val="0"/>
            <c:showSerName val="0"/>
            <c:showPercent val="0"/>
            <c:showBubbleSize val="0"/>
            <c:showLeaderLines val="0"/>
          </c:dLbls>
          <c:cat>
            <c:strRef>
              <c:f>Sheet1!$A$2:$A$7</c:f>
              <c:strCache>
                <c:ptCount val="6"/>
                <c:pt idx="0">
                  <c:v>HO</c:v>
                </c:pt>
                <c:pt idx="1">
                  <c:v>KETA</c:v>
                </c:pt>
                <c:pt idx="2">
                  <c:v>TONGU</c:v>
                </c:pt>
                <c:pt idx="3">
                  <c:v>HOHOE</c:v>
                </c:pt>
                <c:pt idx="4">
                  <c:v>KPANDO</c:v>
                </c:pt>
                <c:pt idx="5">
                  <c:v>KETU</c:v>
                </c:pt>
              </c:strCache>
            </c:strRef>
          </c:cat>
          <c:val>
            <c:numRef>
              <c:f>Sheet1!$B$2:$B$7</c:f>
              <c:numCache>
                <c:formatCode>General</c:formatCode>
                <c:ptCount val="6"/>
                <c:pt idx="0">
                  <c:v>18</c:v>
                </c:pt>
                <c:pt idx="1">
                  <c:v>18</c:v>
                </c:pt>
                <c:pt idx="2">
                  <c:v>14</c:v>
                </c:pt>
                <c:pt idx="3">
                  <c:v>0</c:v>
                </c:pt>
                <c:pt idx="4">
                  <c:v>4</c:v>
                </c:pt>
                <c:pt idx="5">
                  <c:v>10</c:v>
                </c:pt>
              </c:numCache>
            </c:numRef>
          </c:val>
        </c:ser>
        <c:ser>
          <c:idx val="1"/>
          <c:order val="1"/>
          <c:tx>
            <c:strRef>
              <c:f>Sheet1!$C$1</c:f>
              <c:strCache>
                <c:ptCount val="1"/>
                <c:pt idx="0">
                  <c:v>2022</c:v>
                </c:pt>
              </c:strCache>
            </c:strRef>
          </c:tx>
          <c:spPr>
            <a:solidFill>
              <a:schemeClr val="accent3">
                <a:lumMod val="75000"/>
              </a:schemeClr>
            </a:solidFill>
          </c:spPr>
          <c:invertIfNegative val="0"/>
          <c:dLbls>
            <c:txPr>
              <a:bodyPr/>
              <a:lstStyle/>
              <a:p>
                <a:pPr>
                  <a:defRPr sz="1300" b="1"/>
                </a:pPr>
                <a:endParaRPr lang="en-US"/>
              </a:p>
            </c:txPr>
            <c:showLegendKey val="0"/>
            <c:showVal val="1"/>
            <c:showCatName val="0"/>
            <c:showSerName val="0"/>
            <c:showPercent val="0"/>
            <c:showBubbleSize val="0"/>
            <c:showLeaderLines val="0"/>
          </c:dLbls>
          <c:cat>
            <c:strRef>
              <c:f>Sheet1!$A$2:$A$7</c:f>
              <c:strCache>
                <c:ptCount val="6"/>
                <c:pt idx="0">
                  <c:v>HO</c:v>
                </c:pt>
                <c:pt idx="1">
                  <c:v>KETA</c:v>
                </c:pt>
                <c:pt idx="2">
                  <c:v>TONGU</c:v>
                </c:pt>
                <c:pt idx="3">
                  <c:v>HOHOE</c:v>
                </c:pt>
                <c:pt idx="4">
                  <c:v>KPANDO</c:v>
                </c:pt>
                <c:pt idx="5">
                  <c:v>KETU</c:v>
                </c:pt>
              </c:strCache>
            </c:strRef>
          </c:cat>
          <c:val>
            <c:numRef>
              <c:f>Sheet1!$C$2:$C$7</c:f>
              <c:numCache>
                <c:formatCode>General</c:formatCode>
                <c:ptCount val="6"/>
                <c:pt idx="0">
                  <c:v>18</c:v>
                </c:pt>
                <c:pt idx="1">
                  <c:v>7</c:v>
                </c:pt>
                <c:pt idx="2">
                  <c:v>18</c:v>
                </c:pt>
                <c:pt idx="3">
                  <c:v>0</c:v>
                </c:pt>
                <c:pt idx="4">
                  <c:v>1</c:v>
                </c:pt>
                <c:pt idx="5">
                  <c:v>4</c:v>
                </c:pt>
              </c:numCache>
            </c:numRef>
          </c:val>
        </c:ser>
        <c:dLbls>
          <c:showLegendKey val="0"/>
          <c:showVal val="0"/>
          <c:showCatName val="0"/>
          <c:showSerName val="0"/>
          <c:showPercent val="0"/>
          <c:showBubbleSize val="0"/>
        </c:dLbls>
        <c:gapWidth val="75"/>
        <c:overlap val="-25"/>
        <c:axId val="227038720"/>
        <c:axId val="2126413120"/>
      </c:barChart>
      <c:catAx>
        <c:axId val="227038720"/>
        <c:scaling>
          <c:orientation val="minMax"/>
        </c:scaling>
        <c:delete val="0"/>
        <c:axPos val="b"/>
        <c:majorTickMark val="none"/>
        <c:minorTickMark val="none"/>
        <c:tickLblPos val="nextTo"/>
        <c:crossAx val="2126413120"/>
        <c:crosses val="autoZero"/>
        <c:auto val="1"/>
        <c:lblAlgn val="ctr"/>
        <c:lblOffset val="100"/>
        <c:noMultiLvlLbl val="0"/>
      </c:catAx>
      <c:valAx>
        <c:axId val="2126413120"/>
        <c:scaling>
          <c:orientation val="minMax"/>
        </c:scaling>
        <c:delete val="0"/>
        <c:axPos val="l"/>
        <c:majorGridlines/>
        <c:numFmt formatCode="General" sourceLinked="1"/>
        <c:majorTickMark val="none"/>
        <c:minorTickMark val="none"/>
        <c:tickLblPos val="nextTo"/>
        <c:spPr>
          <a:ln w="9525">
            <a:noFill/>
          </a:ln>
        </c:spPr>
        <c:crossAx val="227038720"/>
        <c:crosses val="autoZero"/>
        <c:crossBetween val="between"/>
      </c:valAx>
    </c:plotArea>
    <c:legend>
      <c:legendPos val="b"/>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Vehicles</a:t>
            </a:r>
            <a:r>
              <a:rPr lang="en-US" baseline="0"/>
              <a:t> Types involved in Crashes</a:t>
            </a:r>
            <a:endParaRPr lang="en-US"/>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spPr>
            <a:solidFill>
              <a:srgbClr val="FFFF00"/>
            </a:solidFill>
          </c:spPr>
          <c:dPt>
            <c:idx val="1"/>
            <c:bubble3D val="0"/>
            <c:spPr>
              <a:solidFill>
                <a:schemeClr val="tx2">
                  <a:lumMod val="60000"/>
                  <a:lumOff val="40000"/>
                </a:schemeClr>
              </a:solidFill>
            </c:spPr>
          </c:dPt>
          <c:dPt>
            <c:idx val="2"/>
            <c:bubble3D val="0"/>
            <c:spPr>
              <a:solidFill>
                <a:schemeClr val="accent6">
                  <a:lumMod val="60000"/>
                  <a:lumOff val="40000"/>
                </a:schemeClr>
              </a:solidFill>
            </c:spPr>
          </c:dPt>
          <c:dLbls>
            <c:dLbl>
              <c:idx val="0"/>
              <c:tx>
                <c:rich>
                  <a:bodyPr/>
                  <a:lstStyle/>
                  <a:p>
                    <a:r>
                      <a:rPr lang="en-US" sz="1100"/>
                      <a:t>Commercial,71,
22%</a:t>
                    </a:r>
                    <a:endParaRPr lang="en-US"/>
                  </a:p>
                </c:rich>
              </c:tx>
              <c:showLegendKey val="0"/>
              <c:showVal val="0"/>
              <c:showCatName val="1"/>
              <c:showSerName val="0"/>
              <c:showPercent val="1"/>
              <c:showBubbleSize val="0"/>
            </c:dLbl>
            <c:dLbl>
              <c:idx val="1"/>
              <c:tx>
                <c:rich>
                  <a:bodyPr/>
                  <a:lstStyle/>
                  <a:p>
                    <a:r>
                      <a:rPr lang="en-US" sz="1100"/>
                      <a:t>Private,121,
38%</a:t>
                    </a:r>
                    <a:endParaRPr lang="en-US"/>
                  </a:p>
                </c:rich>
              </c:tx>
              <c:showLegendKey val="0"/>
              <c:showVal val="0"/>
              <c:showCatName val="1"/>
              <c:showSerName val="0"/>
              <c:showPercent val="1"/>
              <c:showBubbleSize val="0"/>
            </c:dLbl>
            <c:dLbl>
              <c:idx val="2"/>
              <c:tx>
                <c:rich>
                  <a:bodyPr/>
                  <a:lstStyle/>
                  <a:p>
                    <a:r>
                      <a:rPr lang="en-US" sz="1100"/>
                      <a:t>Motorcycle,126,
40%</a:t>
                    </a:r>
                    <a:endParaRPr lang="en-US"/>
                  </a:p>
                </c:rich>
              </c:tx>
              <c:showLegendKey val="0"/>
              <c:showVal val="0"/>
              <c:showCatName val="1"/>
              <c:showSerName val="0"/>
              <c:showPercent val="1"/>
              <c:showBubbleSize val="0"/>
            </c:dLbl>
            <c:txPr>
              <a:bodyPr/>
              <a:lstStyle/>
              <a:p>
                <a:pPr>
                  <a:defRPr sz="1100" b="1"/>
                </a:pPr>
                <a:endParaRPr lang="en-US"/>
              </a:p>
            </c:txPr>
            <c:showLegendKey val="0"/>
            <c:showVal val="0"/>
            <c:showCatName val="1"/>
            <c:showSerName val="0"/>
            <c:showPercent val="1"/>
            <c:showBubbleSize val="0"/>
            <c:showLeaderLines val="1"/>
          </c:dLbls>
          <c:cat>
            <c:strRef>
              <c:f>Sheet1!$A$2:$A$4</c:f>
              <c:strCache>
                <c:ptCount val="3"/>
                <c:pt idx="0">
                  <c:v>Commercial</c:v>
                </c:pt>
                <c:pt idx="1">
                  <c:v>Private</c:v>
                </c:pt>
                <c:pt idx="2">
                  <c:v>Motorcycle</c:v>
                </c:pt>
              </c:strCache>
            </c:strRef>
          </c:cat>
          <c:val>
            <c:numRef>
              <c:f>Sheet1!$B$2:$B$4</c:f>
              <c:numCache>
                <c:formatCode>General</c:formatCode>
                <c:ptCount val="3"/>
                <c:pt idx="0">
                  <c:v>71</c:v>
                </c:pt>
                <c:pt idx="1">
                  <c:v>121</c:v>
                </c:pt>
                <c:pt idx="2">
                  <c:v>126</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Persoons</a:t>
            </a:r>
            <a:r>
              <a:rPr lang="en-US" baseline="0"/>
              <a:t> Killed by Vehicle Types</a:t>
            </a:r>
            <a:endParaRPr lang="en-US"/>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JAN -JUNE</c:v>
                </c:pt>
              </c:strCache>
            </c:strRef>
          </c:tx>
          <c:dPt>
            <c:idx val="1"/>
            <c:bubble3D val="0"/>
            <c:spPr>
              <a:solidFill>
                <a:srgbClr val="00B0F0"/>
              </a:solidFill>
            </c:spPr>
          </c:dPt>
          <c:dPt>
            <c:idx val="2"/>
            <c:bubble3D val="0"/>
            <c:spPr>
              <a:solidFill>
                <a:schemeClr val="accent6">
                  <a:lumMod val="60000"/>
                  <a:lumOff val="40000"/>
                </a:schemeClr>
              </a:solidFill>
            </c:spPr>
          </c:dPt>
          <c:dLbls>
            <c:dLblPos val="ctr"/>
            <c:showLegendKey val="0"/>
            <c:showVal val="0"/>
            <c:showCatName val="1"/>
            <c:showSerName val="0"/>
            <c:showPercent val="1"/>
            <c:showBubbleSize val="0"/>
            <c:showLeaderLines val="1"/>
          </c:dLbls>
          <c:cat>
            <c:strRef>
              <c:f>Sheet1!$A$2:$A$4</c:f>
              <c:strCache>
                <c:ptCount val="3"/>
                <c:pt idx="0">
                  <c:v>Private </c:v>
                </c:pt>
                <c:pt idx="1">
                  <c:v>Motorcycle</c:v>
                </c:pt>
                <c:pt idx="2">
                  <c:v>Commercial </c:v>
                </c:pt>
              </c:strCache>
            </c:strRef>
          </c:cat>
          <c:val>
            <c:numRef>
              <c:f>Sheet1!$B$2:$B$4</c:f>
              <c:numCache>
                <c:formatCode>General</c:formatCode>
                <c:ptCount val="3"/>
                <c:pt idx="0">
                  <c:v>5</c:v>
                </c:pt>
                <c:pt idx="1">
                  <c:v>29</c:v>
                </c:pt>
                <c:pt idx="2">
                  <c:v>14</c:v>
                </c:pt>
              </c:numCache>
            </c:numRef>
          </c:val>
        </c:ser>
        <c:dLbls>
          <c:dLblPos val="ctr"/>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800" b="1" i="0" baseline="0">
                <a:effectLst/>
              </a:rPr>
              <a:t>Persoons Injured by Vehicle Types</a:t>
            </a:r>
            <a:endParaRPr lang="en-US">
              <a:effectLst/>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JAN -JUNE</c:v>
                </c:pt>
              </c:strCache>
            </c:strRef>
          </c:tx>
          <c:dPt>
            <c:idx val="1"/>
            <c:bubble3D val="0"/>
            <c:spPr>
              <a:solidFill>
                <a:srgbClr val="00B0F0"/>
              </a:solidFill>
            </c:spPr>
          </c:dPt>
          <c:dPt>
            <c:idx val="2"/>
            <c:bubble3D val="0"/>
            <c:spPr>
              <a:solidFill>
                <a:schemeClr val="accent6">
                  <a:lumMod val="60000"/>
                  <a:lumOff val="40000"/>
                </a:schemeClr>
              </a:solidFill>
            </c:spPr>
          </c:dPt>
          <c:dLbls>
            <c:dLblPos val="ctr"/>
            <c:showLegendKey val="0"/>
            <c:showVal val="0"/>
            <c:showCatName val="1"/>
            <c:showSerName val="0"/>
            <c:showPercent val="1"/>
            <c:showBubbleSize val="0"/>
            <c:showLeaderLines val="1"/>
          </c:dLbls>
          <c:cat>
            <c:strRef>
              <c:f>Sheet1!$A$2:$A$4</c:f>
              <c:strCache>
                <c:ptCount val="3"/>
                <c:pt idx="0">
                  <c:v>Private </c:v>
                </c:pt>
                <c:pt idx="1">
                  <c:v>Motorcycle</c:v>
                </c:pt>
                <c:pt idx="2">
                  <c:v>Commercial </c:v>
                </c:pt>
              </c:strCache>
            </c:strRef>
          </c:cat>
          <c:val>
            <c:numRef>
              <c:f>Sheet1!$B$2:$B$4</c:f>
              <c:numCache>
                <c:formatCode>General</c:formatCode>
                <c:ptCount val="3"/>
                <c:pt idx="0">
                  <c:v>24</c:v>
                </c:pt>
                <c:pt idx="1">
                  <c:v>59</c:v>
                </c:pt>
                <c:pt idx="2">
                  <c:v>50</c:v>
                </c:pt>
              </c:numCache>
            </c:numRef>
          </c:val>
        </c:ser>
        <c:dLbls>
          <c:dLblPos val="ctr"/>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800" b="1" i="0" cap="all" baseline="0">
                <a:effectLst/>
              </a:rPr>
              <a:t>Distribution of Fatalities by SEX</a:t>
            </a:r>
            <a:endParaRPr lang="en-US">
              <a:effectLst/>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en-US"/>
          </a:p>
        </c:rich>
      </c:tx>
      <c:layout>
        <c:manualLayout>
          <c:xMode val="edge"/>
          <c:yMode val="edge"/>
          <c:x val="0.15087962962962964"/>
          <c:y val="0"/>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8518518518518517E-2"/>
          <c:y val="0.31148956449219639"/>
          <c:w val="0.98148148148148151"/>
          <c:h val="0.65789383617281683"/>
        </c:manualLayout>
      </c:layout>
      <c:pie3DChart>
        <c:varyColors val="1"/>
        <c:ser>
          <c:idx val="0"/>
          <c:order val="0"/>
          <c:tx>
            <c:strRef>
              <c:f>Sheet1!$B$1</c:f>
              <c:strCache>
                <c:ptCount val="1"/>
                <c:pt idx="0">
                  <c:v>Column1</c:v>
                </c:pt>
              </c:strCache>
            </c:strRef>
          </c:tx>
          <c:spPr>
            <a:solidFill>
              <a:schemeClr val="accent2">
                <a:lumMod val="60000"/>
                <a:lumOff val="40000"/>
              </a:schemeClr>
            </a:solidFill>
          </c:spPr>
          <c:dPt>
            <c:idx val="1"/>
            <c:bubble3D val="0"/>
            <c:spPr>
              <a:solidFill>
                <a:schemeClr val="bg1">
                  <a:lumMod val="65000"/>
                </a:schemeClr>
              </a:solidFill>
            </c:spPr>
          </c:dPt>
          <c:dLbls>
            <c:dLbl>
              <c:idx val="0"/>
              <c:layout>
                <c:manualLayout>
                  <c:x val="-0.12547408136482932"/>
                  <c:y val="-0.28920911673309846"/>
                </c:manualLayout>
              </c:layout>
              <c:tx>
                <c:rich>
                  <a:bodyPr/>
                  <a:lstStyle/>
                  <a:p>
                    <a:pPr>
                      <a:defRPr sz="1400" b="1"/>
                    </a:pPr>
                    <a:r>
                      <a:rPr lang="en-US" sz="1400" b="1"/>
                      <a:t>Male,34
77%</a:t>
                    </a:r>
                    <a:endParaRPr lang="en-US" b="1"/>
                  </a:p>
                </c:rich>
              </c:tx>
              <c:spPr/>
              <c:showLegendKey val="0"/>
              <c:showVal val="0"/>
              <c:showCatName val="1"/>
              <c:showSerName val="0"/>
              <c:showPercent val="1"/>
              <c:showBubbleSize val="0"/>
            </c:dLbl>
            <c:dLbl>
              <c:idx val="1"/>
              <c:layout>
                <c:manualLayout>
                  <c:x val="0.10725630650335378"/>
                  <c:y val="5.7729375899341344E-2"/>
                </c:manualLayout>
              </c:layout>
              <c:tx>
                <c:rich>
                  <a:bodyPr/>
                  <a:lstStyle/>
                  <a:p>
                    <a:pPr>
                      <a:defRPr sz="1400" b="1"/>
                    </a:pPr>
                    <a:r>
                      <a:rPr lang="en-US" sz="1400" b="1"/>
                      <a:t>Female,11
23%</a:t>
                    </a:r>
                    <a:endParaRPr lang="en-US" b="1"/>
                  </a:p>
                </c:rich>
              </c:tx>
              <c:spPr/>
              <c:showLegendKey val="0"/>
              <c:showVal val="0"/>
              <c:showCatName val="1"/>
              <c:showSerName val="0"/>
              <c:showPercent val="1"/>
              <c:showBubbleSize val="0"/>
            </c:dLbl>
            <c:txPr>
              <a:bodyPr/>
              <a:lstStyle/>
              <a:p>
                <a:pPr>
                  <a:defRPr sz="1400"/>
                </a:pPr>
                <a:endParaRPr lang="en-US"/>
              </a:p>
            </c:txPr>
            <c:showLegendKey val="0"/>
            <c:showVal val="0"/>
            <c:showCatName val="1"/>
            <c:showSerName val="0"/>
            <c:showPercent val="1"/>
            <c:showBubbleSize val="0"/>
            <c:showLeaderLines val="1"/>
          </c:dLbls>
          <c:cat>
            <c:strRef>
              <c:f>Sheet1!$A$2:$A$5</c:f>
              <c:strCache>
                <c:ptCount val="2"/>
                <c:pt idx="0">
                  <c:v>Male</c:v>
                </c:pt>
                <c:pt idx="1">
                  <c:v>Female</c:v>
                </c:pt>
              </c:strCache>
            </c:strRef>
          </c:cat>
          <c:val>
            <c:numRef>
              <c:f>Sheet1!$B$2:$B$5</c:f>
              <c:numCache>
                <c:formatCode>General</c:formatCode>
                <c:ptCount val="4"/>
                <c:pt idx="0">
                  <c:v>37</c:v>
                </c:pt>
                <c:pt idx="1">
                  <c:v>11</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8089C-4747-4B80-A74B-A20D1D518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SACKITEY</dc:creator>
  <cp:lastModifiedBy>SACKITEY</cp:lastModifiedBy>
  <cp:revision>2</cp:revision>
  <dcterms:created xsi:type="dcterms:W3CDTF">2022-07-08T21:35:00Z</dcterms:created>
  <dcterms:modified xsi:type="dcterms:W3CDTF">2022-07-08T21:35:00Z</dcterms:modified>
</cp:coreProperties>
</file>